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8421F" w14:textId="77777777" w:rsidR="00791070" w:rsidRDefault="00791070" w:rsidP="003466E3">
      <w:pPr>
        <w:spacing w:line="480" w:lineRule="auto"/>
        <w:rPr>
          <w:sz w:val="36"/>
        </w:rPr>
      </w:pPr>
      <w:r>
        <w:rPr>
          <w:sz w:val="36"/>
        </w:rPr>
        <w:t>Supporting Methods</w:t>
      </w:r>
    </w:p>
    <w:p w14:paraId="715C9679" w14:textId="77777777" w:rsidR="00791070" w:rsidRDefault="00791070" w:rsidP="003466E3">
      <w:pPr>
        <w:spacing w:line="480" w:lineRule="auto"/>
        <w:rPr>
          <w:sz w:val="36"/>
        </w:rPr>
      </w:pPr>
    </w:p>
    <w:p w14:paraId="5F18A999" w14:textId="0009A843" w:rsidR="00BC4EBC" w:rsidRPr="00791070" w:rsidRDefault="00BC4EBC" w:rsidP="003466E3">
      <w:pPr>
        <w:spacing w:line="480" w:lineRule="auto"/>
        <w:rPr>
          <w:sz w:val="36"/>
        </w:rPr>
      </w:pPr>
      <w:r w:rsidRPr="00791070">
        <w:rPr>
          <w:sz w:val="36"/>
        </w:rPr>
        <w:t>Statistical Analysis</w:t>
      </w:r>
    </w:p>
    <w:p w14:paraId="63C13CB8" w14:textId="4E2E3E4B" w:rsidR="003466E3" w:rsidRPr="009A1E8B" w:rsidRDefault="003466E3" w:rsidP="003466E3">
      <w:pPr>
        <w:spacing w:line="480" w:lineRule="auto"/>
        <w:rPr>
          <w:i/>
          <w:iCs/>
        </w:rPr>
      </w:pPr>
      <w:r>
        <w:rPr>
          <w:i/>
          <w:iCs/>
        </w:rPr>
        <w:t>Wilcoxon pairwise signed rank test</w:t>
      </w:r>
    </w:p>
    <w:p w14:paraId="7AB1428B" w14:textId="61009EBC" w:rsidR="00A73FA9" w:rsidRDefault="003466E3" w:rsidP="003466E3">
      <w:pPr>
        <w:spacing w:line="480" w:lineRule="auto"/>
      </w:pPr>
      <w:r>
        <w:t xml:space="preserve">Parent-Child-Pairs (PCPs) where both parent and child had been diagnosed with a CRC or EC were generated with </w:t>
      </w:r>
      <w:proofErr w:type="spellStart"/>
      <w:r>
        <w:rPr>
          <w:i/>
        </w:rPr>
        <w:t>dplyr</w:t>
      </w:r>
      <w:proofErr w:type="spellEnd"/>
      <w:r>
        <w:t xml:space="preserve"> package </w:t>
      </w:r>
      <w:r>
        <w:fldChar w:fldCharType="begin"/>
      </w:r>
      <w:r>
        <w:instrText xml:space="preserve"> ADDIN EN.CITE &lt;EndNote&gt;&lt;Cite&gt;&lt;Author&gt;Hadley&lt;/Author&gt;&lt;Year&gt;2021&lt;/Year&gt;&lt;RecNum&gt;78&lt;/RecNum&gt;&lt;DisplayText&gt;(Hadley, 2021)&lt;/DisplayText&gt;&lt;record&gt;&lt;rec-number&gt;78&lt;/rec-number&gt;&lt;foreign-keys&gt;&lt;key app="EN" db-id="zxtsxwdr5xe9tkefddnxstd2pwtpxz0pz0zd" timestamp="1642429992"&gt;78&lt;/key&gt;&lt;/foreign-keys&gt;&lt;ref-type name="Web Page"&gt;12&lt;/ref-type&gt;&lt;contributors&gt;&lt;authors&gt;&lt;author&gt;Hadley,W.; Francois,R.; Henry,L.;Muller,K.&lt;/author&gt;&lt;/authors&gt;&lt;/contributors&gt;&lt;titles&gt;&lt;title&gt;dplyr: A Grammar of Data Manipulation . R package version 1.0.7&lt;/title&gt;&lt;/titles&gt;&lt;dates&gt;&lt;year&gt;2021&lt;/year&gt;&lt;/dates&gt;&lt;urls&gt;&lt;related-urls&gt;&lt;url&gt;https://CRAN.R-project.org/package=dplyr&lt;/url&gt;&lt;/related-urls&gt;&lt;/urls&gt;&lt;/record&gt;&lt;/Cite&gt;&lt;/EndNote&gt;</w:instrText>
      </w:r>
      <w:r>
        <w:fldChar w:fldCharType="separate"/>
      </w:r>
      <w:r>
        <w:rPr>
          <w:noProof/>
        </w:rPr>
        <w:t>(Hadley, 2021)</w:t>
      </w:r>
      <w:r>
        <w:fldChar w:fldCharType="end"/>
      </w:r>
      <w:r>
        <w:t xml:space="preserve"> in R </w:t>
      </w:r>
      <w:r>
        <w:fldChar w:fldCharType="begin"/>
      </w:r>
      <w:r>
        <w:instrText xml:space="preserve"> ADDIN EN.CITE &lt;EndNote&gt;&lt;Cite&gt;&lt;Author&gt;R Core Team&lt;/Author&gt;&lt;Year&gt;2021&lt;/Year&gt;&lt;RecNum&gt;60&lt;/RecNum&gt;&lt;DisplayText&gt;(R Core Team, 2021)&lt;/DisplayText&gt;&lt;record&gt;&lt;rec-number&gt;60&lt;/rec-number&gt;&lt;foreign-keys&gt;&lt;key app="EN" db-id="zxtsxwdr5xe9tkefddnxstd2pwtpxz0pz0zd" timestamp="1624545622"&gt;60&lt;/key&gt;&lt;/foreign-keys&gt;&lt;ref-type name="Computer Program"&gt;9&lt;/ref-type&gt;&lt;contributors&gt;&lt;authors&gt;&lt;author&gt;R Core Team,&lt;/author&gt;&lt;/authors&gt;&lt;/contributors&gt;&lt;titles&gt;&lt;title&gt;R: A language and environment for statistical computing&lt;/title&gt;&lt;/titles&gt;&lt;edition&gt;4.1.0&lt;/edition&gt;&lt;dates&gt;&lt;year&gt;2021&lt;/year&gt;&lt;/dates&gt;&lt;pub-location&gt;Vienna, Austria&lt;/pub-location&gt;&lt;publisher&gt;R Foundation for Statistical Computing&lt;/publisher&gt;&lt;urls&gt;&lt;related-urls&gt;&lt;url&gt;https://www.R-project.org/&lt;/url&gt;&lt;/related-urls&gt;&lt;/urls&gt;&lt;/record&gt;&lt;/Cite&gt;&lt;/EndNote&gt;</w:instrText>
      </w:r>
      <w:r>
        <w:fldChar w:fldCharType="separate"/>
      </w:r>
      <w:r>
        <w:rPr>
          <w:noProof/>
        </w:rPr>
        <w:t>(R Core Team, 2021)</w:t>
      </w:r>
      <w:r>
        <w:fldChar w:fldCharType="end"/>
      </w:r>
      <w:r>
        <w:t>. Comparison of age of diagnosis of each pair was done using Wilcoxon pairwise signed rank test</w:t>
      </w:r>
      <w:r w:rsidR="007D5732">
        <w:t xml:space="preserve"> (</w:t>
      </w:r>
      <w:proofErr w:type="spellStart"/>
      <w:r w:rsidR="007D5732">
        <w:t>wilcox.test</w:t>
      </w:r>
      <w:proofErr w:type="spellEnd"/>
      <w:r w:rsidR="007D5732">
        <w:t>) in R,</w:t>
      </w:r>
      <w:r>
        <w:t xml:space="preserve"> with and without the probands</w:t>
      </w:r>
      <w:r w:rsidR="0080462A">
        <w:t>, with α=0.05</w:t>
      </w:r>
      <w:r w:rsidR="006E52C6">
        <w:t xml:space="preserve"> </w:t>
      </w:r>
      <w:r w:rsidR="009F00AC">
        <w:fldChar w:fldCharType="begin">
          <w:fldData xml:space="preserve">PEVuZE5vdGU+PENpdGU+PEF1dGhvcj5CYXVlcjwvQXV0aG9yPjxZZWFyPjE5NzI8L1llYXI+PFJl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</w:fldData>
        </w:fldChar>
      </w:r>
      <w:r w:rsidR="00DB6D1B">
        <w:instrText xml:space="preserve"> ADDIN EN.CITE </w:instrText>
      </w:r>
      <w:r w:rsidR="00DB6D1B">
        <w:fldChar w:fldCharType="begin">
          <w:fldData xml:space="preserve">PEVuZE5vdGU+PENpdGU+PEF1dGhvcj5CYXVlcjwvQXV0aG9yPjxZZWFyPjE5NzI8L1llYXI+PFJl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</w:fldData>
        </w:fldChar>
      </w:r>
      <w:r w:rsidR="00DB6D1B">
        <w:instrText xml:space="preserve"> ADDIN EN.CITE.DATA </w:instrText>
      </w:r>
      <w:r w:rsidR="00DB6D1B">
        <w:fldChar w:fldCharType="end"/>
      </w:r>
      <w:r w:rsidR="009F00AC">
        <w:fldChar w:fldCharType="separate"/>
      </w:r>
      <w:r w:rsidR="00DB6D1B">
        <w:rPr>
          <w:noProof/>
        </w:rPr>
        <w:t>(Bauer, 1972; Toutenburg, 1975)</w:t>
      </w:r>
      <w:r w:rsidR="009F00AC">
        <w:fldChar w:fldCharType="end"/>
      </w:r>
      <w:r w:rsidR="009E2367">
        <w:t xml:space="preserve">. </w:t>
      </w:r>
      <w:r w:rsidR="00CA08C0">
        <w:t>A Hodges-Lehmann statistic referred to as</w:t>
      </w:r>
      <w:r w:rsidR="00BA32A7">
        <w:t xml:space="preserve"> a</w:t>
      </w:r>
      <w:r w:rsidR="009E2367">
        <w:t xml:space="preserve"> pseudo- median</w:t>
      </w:r>
      <w:r w:rsidR="00BA32A7">
        <w:t xml:space="preserve"> </w:t>
      </w:r>
      <w:r w:rsidR="006D153B">
        <w:t xml:space="preserve">was obtained as the median of Walsh averages of the </w:t>
      </w:r>
      <w:r w:rsidR="00AA6D5D">
        <w:t>paired differences</w:t>
      </w:r>
      <w:r w:rsidR="006D027A">
        <w:t>. C</w:t>
      </w:r>
      <w:r w:rsidR="00FD6077">
        <w:t>onfidence intervals</w:t>
      </w:r>
      <w:r w:rsidR="00E66CDD">
        <w:t xml:space="preserve"> </w:t>
      </w:r>
      <w:r w:rsidR="006D027A">
        <w:t xml:space="preserve">were output </w:t>
      </w:r>
      <w:r w:rsidR="00625B15">
        <w:t>as</w:t>
      </w:r>
      <w:r w:rsidR="00B471E4">
        <w:t xml:space="preserve"> intervals of</w:t>
      </w:r>
      <w:r w:rsidR="00625B15">
        <w:t xml:space="preserve"> </w:t>
      </w:r>
      <w:r w:rsidR="00430B45">
        <w:t xml:space="preserve">sorted </w:t>
      </w:r>
      <w:r w:rsidR="00625B15">
        <w:t>Walsh averages</w:t>
      </w:r>
      <w:r w:rsidR="00430B45">
        <w:t xml:space="preserve"> </w:t>
      </w:r>
      <w:r w:rsidR="00625B15">
        <w:t xml:space="preserve"> </w:t>
      </w:r>
      <w:r w:rsidR="00430B45">
        <w:t>(W</w:t>
      </w:r>
      <w:r w:rsidR="00430B45" w:rsidRPr="00FC2562">
        <w:rPr>
          <w:vertAlign w:val="subscript"/>
        </w:rPr>
        <w:t>1</w:t>
      </w:r>
      <w:r w:rsidR="00430B45">
        <w:t>…W</w:t>
      </w:r>
      <w:r w:rsidR="00430B45" w:rsidRPr="00FC2562">
        <w:rPr>
          <w:vertAlign w:val="subscript"/>
        </w:rPr>
        <w:t>m</w:t>
      </w:r>
      <w:r w:rsidR="00430B45">
        <w:t>)</w:t>
      </w:r>
      <w:r w:rsidR="001C07D4">
        <w:t xml:space="preserve"> for</w:t>
      </w:r>
      <w:r w:rsidR="00430B45">
        <w:t xml:space="preserve"> </w:t>
      </w:r>
      <w:r w:rsidR="006D6391">
        <w:t xml:space="preserve">which the confidence levels were found to be </w:t>
      </w:r>
      <w:r w:rsidR="00A73FA9">
        <w:t xml:space="preserve">closest to </w:t>
      </w:r>
      <w:r w:rsidR="006D6391">
        <w:t>95%</w:t>
      </w:r>
      <w:r w:rsidR="00480D56">
        <w:t xml:space="preserve"> </w:t>
      </w:r>
      <w:r w:rsidR="00480D56">
        <w:fldChar w:fldCharType="begin"/>
      </w:r>
      <w:r w:rsidR="00480D56">
        <w:instrText xml:space="preserve"> ADDIN EN.CITE &lt;EndNote&gt;&lt;Cite&gt;&lt;Author&gt;Geyer&lt;/Author&gt;&lt;Year&gt;2003&lt;/Year&gt;&lt;RecNum&gt;3&lt;/RecNum&gt;&lt;DisplayText&gt;(Geyer, 2003)&lt;/DisplayText&gt;&lt;record&gt;&lt;rec-number&gt;3&lt;/rec-number&gt;&lt;foreign-keys&gt;&lt;key app="EN" db-id="v0a2dteso59tf8erxs5vxsek9fvwr020a9vp" timestamp="1688748544"&gt;3&lt;/key&gt;&lt;/foreign-keys&gt;&lt;ref-type name="Electronic Article"&gt;43&lt;/ref-type&gt;&lt;contributors&gt;&lt;authors&gt;&lt;author&gt;Charles J. Geyer&lt;/author&gt;&lt;/authors&gt;&lt;/contributors&gt;&lt;titles&gt;&lt;title&gt;Stat 5102 Notes: Nonparametric tests and confidence intervals&lt;/title&gt;&lt;tertiary-title&gt;stat.umn.edu/geyer/old03/5102/notes/rank.pdf&lt;/tertiary-title&gt;&lt;/titles&gt;&lt;section&gt;April 13, 2003&lt;/section&gt;&lt;dates&gt;&lt;year&gt;2003&lt;/year&gt;&lt;pub-dates&gt;&lt;date&gt;7/7/2023&lt;/date&gt;&lt;/pub-dates&gt;&lt;/dates&gt;&lt;pub-location&gt;stat.umn.edu&lt;/pub-location&gt;&lt;urls&gt;&lt;/urls&gt;&lt;custom1&gt;2023&lt;/custom1&gt;&lt;custom2&gt;7/7/2023&lt;/custom2&gt;&lt;/record&gt;&lt;/Cite&gt;&lt;/EndNote&gt;</w:instrText>
      </w:r>
      <w:r w:rsidR="00480D56">
        <w:fldChar w:fldCharType="separate"/>
      </w:r>
      <w:r w:rsidR="00480D56">
        <w:rPr>
          <w:noProof/>
        </w:rPr>
        <w:t>(Geyer, 2003)</w:t>
      </w:r>
      <w:r w:rsidR="00480D56">
        <w:fldChar w:fldCharType="end"/>
      </w:r>
      <w:r w:rsidR="005D2863">
        <w:t xml:space="preserve"> </w:t>
      </w:r>
      <w:r w:rsidR="00A73FA9">
        <w:t>. Confidence levels are calculated a</w:t>
      </w:r>
      <w:r w:rsidR="008C6264">
        <w:t>s</w:t>
      </w:r>
    </w:p>
    <w:p w14:paraId="4B63D64D" w14:textId="46AB61E8" w:rsidR="00A73FA9" w:rsidRDefault="00A73FA9" w:rsidP="003466E3">
      <w:pPr>
        <w:spacing w:line="480" w:lineRule="auto"/>
      </w:pPr>
      <w:r>
        <w:t>1-2*T(</w:t>
      </w:r>
      <w:proofErr w:type="spellStart"/>
      <w:r w:rsidR="006D59AF">
        <w:t>k,n</w:t>
      </w:r>
      <w:proofErr w:type="spellEnd"/>
      <w:r w:rsidR="006D59AF">
        <w:t xml:space="preserve">) where T= Wilcoxon signed rank statistic, k= </w:t>
      </w:r>
      <w:r w:rsidR="00792FCB">
        <w:t xml:space="preserve">1:m/2 values in from sorted Walsh averages and n= </w:t>
      </w:r>
      <w:r w:rsidR="008C6264">
        <w:t>number of values of paired differences</w:t>
      </w:r>
    </w:p>
    <w:p w14:paraId="07434AAB" w14:textId="6D5E105C" w:rsidR="003466E3" w:rsidRDefault="009E2367" w:rsidP="003466E3">
      <w:pPr>
        <w:spacing w:line="480" w:lineRule="auto"/>
      </w:pPr>
      <w:r>
        <w:t xml:space="preserve"> </w:t>
      </w:r>
      <w:r w:rsidR="003466E3">
        <w:t xml:space="preserve"> For all analyses, probands were defined as the individuals</w:t>
      </w:r>
      <w:r w:rsidR="00F37985">
        <w:t xml:space="preserve"> with a cancer diagnosis</w:t>
      </w:r>
      <w:r w:rsidR="003466E3">
        <w:t xml:space="preserve"> indicated on the pedigree as the index case. </w:t>
      </w:r>
    </w:p>
    <w:p w14:paraId="3B944435" w14:textId="77777777" w:rsidR="003466E3" w:rsidRDefault="003466E3" w:rsidP="003466E3"/>
    <w:p w14:paraId="42098709" w14:textId="77777777" w:rsidR="003466E3" w:rsidRDefault="003466E3" w:rsidP="003466E3">
      <w:pPr>
        <w:spacing w:line="480" w:lineRule="auto"/>
        <w:rPr>
          <w:i/>
          <w:iCs/>
        </w:rPr>
      </w:pPr>
      <w:r>
        <w:rPr>
          <w:i/>
          <w:iCs/>
        </w:rPr>
        <w:t>Parametric Weibull distribution analysis</w:t>
      </w:r>
    </w:p>
    <w:p w14:paraId="1E2B571A" w14:textId="37C0D3A5" w:rsidR="00221671" w:rsidRDefault="005A66C6" w:rsidP="003466E3">
      <w:pPr>
        <w:spacing w:line="480" w:lineRule="auto"/>
      </w:pPr>
      <w:r>
        <w:t xml:space="preserve">Weibull models were run in STATA </w:t>
      </w:r>
      <w:r w:rsidR="00B439CC">
        <w:fldChar w:fldCharType="begin"/>
      </w:r>
      <w:r w:rsidR="00B439CC">
        <w:instrText xml:space="preserve"> ADDIN EN.CITE &lt;EndNote&gt;&lt;Cite&gt;&lt;Author&gt;STATA&lt;/Author&gt;&lt;Year&gt;2023&lt;/Year&gt;&lt;RecNum&gt;20&lt;/RecNum&gt;&lt;DisplayText&gt;(STATA, 2023)&lt;/DisplayText&gt;&lt;record&gt;&lt;rec-number&gt;20&lt;/rec-number&gt;&lt;foreign-keys&gt;&lt;key app="EN" db-id="fe5xdateqt9d2lee2e85z5siprfvsvd5wafw" timestamp="1704155487"&gt;20&lt;/key&gt;&lt;/foreign-keys&gt;&lt;ref-type name="Web Page"&gt;12&lt;/ref-type&gt;&lt;contributors&gt;&lt;authors&gt;&lt;author&gt;STATA&lt;/author&gt;&lt;/authors&gt;&lt;/contributors&gt;&lt;auth-address&gt;College Station, TX&lt;/auth-address&gt;&lt;titles&gt;&lt;title&gt;Stata Statistical Software:Release 18&lt;/title&gt;&lt;/titles&gt;&lt;dates&gt;&lt;year&gt;2023&lt;/year&gt;&lt;/dates&gt;&lt;pub-location&gt;College Station, TX&lt;/pub-location&gt;&lt;publisher&gt;StataCorp LLC&lt;/publisher&gt;&lt;urls&gt;&lt;related-urls&gt;&lt;url&gt;https://www.stata.com/manuals/ststreg.pdf&lt;/url&gt;&lt;/related-urls&gt;&lt;/urls&gt;&lt;custom1&gt;2023&lt;/custom1&gt;&lt;/record&gt;&lt;/Cite&gt;&lt;/EndNote&gt;</w:instrText>
      </w:r>
      <w:r w:rsidR="00B439CC">
        <w:fldChar w:fldCharType="separate"/>
      </w:r>
      <w:r w:rsidR="00B439CC">
        <w:rPr>
          <w:noProof/>
        </w:rPr>
        <w:t>(STATA, 2023)</w:t>
      </w:r>
      <w:r w:rsidR="00B439CC">
        <w:fldChar w:fldCharType="end"/>
      </w:r>
      <w:r w:rsidR="00B439CC">
        <w:t xml:space="preserve"> </w:t>
      </w:r>
      <w:r w:rsidR="00221671">
        <w:t>using the function “</w:t>
      </w:r>
      <w:proofErr w:type="spellStart"/>
      <w:r w:rsidR="00221671">
        <w:t>streg</w:t>
      </w:r>
      <w:proofErr w:type="spellEnd"/>
      <w:r w:rsidR="00221671">
        <w:t>”.</w:t>
      </w:r>
    </w:p>
    <w:p w14:paraId="32CF617C" w14:textId="5BB744A8" w:rsidR="00DE1AFC" w:rsidRDefault="007860A6" w:rsidP="003466E3">
      <w:pPr>
        <w:spacing w:line="480" w:lineRule="auto"/>
      </w:pPr>
      <w:r>
        <w:lastRenderedPageBreak/>
        <w:t xml:space="preserve">The Weibull model </w:t>
      </w:r>
      <w:r w:rsidR="00F53DCA">
        <w:t xml:space="preserve">can be </w:t>
      </w:r>
      <w:r>
        <w:t xml:space="preserve">parameterized as both </w:t>
      </w:r>
      <w:r w:rsidR="00AC7F01">
        <w:t>Proportional Hazards (</w:t>
      </w:r>
      <w:r>
        <w:t>PH</w:t>
      </w:r>
      <w:r w:rsidR="00AC7F01">
        <w:t>)</w:t>
      </w:r>
      <w:r>
        <w:t xml:space="preserve"> and </w:t>
      </w:r>
      <w:r w:rsidR="00AC7F01">
        <w:t>Accelerated Failure Time (</w:t>
      </w:r>
      <w:r>
        <w:t>AFT</w:t>
      </w:r>
      <w:r w:rsidR="00AC7F01">
        <w:t>)</w:t>
      </w:r>
      <w:r>
        <w:t xml:space="preserve"> models. The Weibull distribution is suitable for modeling data with monotone hazard rates that either increase or decrease exponentially with time.</w:t>
      </w:r>
    </w:p>
    <w:p w14:paraId="5E4ABF10" w14:textId="19E935EA" w:rsidR="006C63D4" w:rsidRDefault="006C63D4" w:rsidP="003466E3">
      <w:pPr>
        <w:spacing w:line="480" w:lineRule="auto"/>
      </w:pPr>
      <w:r>
        <w:t xml:space="preserve">For the PH model, </w:t>
      </w:r>
      <w:r w:rsidRPr="000E13B7">
        <w:rPr>
          <w:i/>
          <w:iCs/>
        </w:rPr>
        <w:t>h</w:t>
      </w:r>
      <w:r w:rsidRPr="00FA1CA2">
        <w:rPr>
          <w:i/>
          <w:iCs/>
          <w:vertAlign w:val="subscript"/>
        </w:rPr>
        <w:t>0</w:t>
      </w:r>
      <w:r w:rsidRPr="000E13B7">
        <w:rPr>
          <w:i/>
          <w:iCs/>
        </w:rPr>
        <w:t>(t) = p t</w:t>
      </w:r>
      <w:r w:rsidRPr="00FA1CA2">
        <w:rPr>
          <w:i/>
          <w:iCs/>
          <w:vertAlign w:val="superscript"/>
        </w:rPr>
        <w:t>p−1</w:t>
      </w:r>
      <w:r w:rsidRPr="00FA1CA2">
        <w:rPr>
          <w:vertAlign w:val="superscript"/>
        </w:rPr>
        <w:t xml:space="preserve"> </w:t>
      </w:r>
      <w:r>
        <w:t xml:space="preserve">for Weibull regression, where </w:t>
      </w:r>
      <w:r w:rsidRPr="00FA1CA2">
        <w:rPr>
          <w:i/>
          <w:iCs/>
        </w:rPr>
        <w:t>p</w:t>
      </w:r>
      <w:r>
        <w:t xml:space="preserve"> is the shape parameter to be estimated from the data. </w:t>
      </w:r>
    </w:p>
    <w:p w14:paraId="6E683944" w14:textId="77777777" w:rsidR="00053331" w:rsidRDefault="00C425AD" w:rsidP="003466E3">
      <w:pPr>
        <w:spacing w:line="480" w:lineRule="auto"/>
      </w:pPr>
      <w:r>
        <w:t>The AFT model is written as</w:t>
      </w:r>
    </w:p>
    <w:p w14:paraId="22FB0130" w14:textId="1269582C" w:rsidR="00053331" w:rsidRDefault="00C425AD" w:rsidP="00053331">
      <w:pPr>
        <w:spacing w:line="480" w:lineRule="auto"/>
        <w:ind w:left="720" w:firstLine="720"/>
      </w:pPr>
      <w:r>
        <w:t xml:space="preserve"> </w:t>
      </w:r>
      <w:r w:rsidRPr="00C425AD">
        <w:rPr>
          <w:i/>
          <w:iCs/>
        </w:rPr>
        <w:t>log(</w:t>
      </w:r>
      <w:proofErr w:type="spellStart"/>
      <w:r w:rsidRPr="00C425AD">
        <w:rPr>
          <w:i/>
          <w:iCs/>
        </w:rPr>
        <w:t>t</w:t>
      </w:r>
      <w:r w:rsidRPr="00053331">
        <w:rPr>
          <w:i/>
          <w:iCs/>
          <w:vertAlign w:val="subscript"/>
        </w:rPr>
        <w:t>j</w:t>
      </w:r>
      <w:proofErr w:type="spellEnd"/>
      <w:r w:rsidRPr="00C425AD">
        <w:rPr>
          <w:i/>
          <w:iCs/>
        </w:rPr>
        <w:t xml:space="preserve"> ) = </w:t>
      </w:r>
      <w:proofErr w:type="spellStart"/>
      <w:r w:rsidRPr="00C425AD">
        <w:rPr>
          <w:i/>
          <w:iCs/>
        </w:rPr>
        <w:t>x</w:t>
      </w:r>
      <w:r w:rsidRPr="00053331">
        <w:rPr>
          <w:i/>
          <w:iCs/>
          <w:vertAlign w:val="subscript"/>
        </w:rPr>
        <w:t>j</w:t>
      </w:r>
      <w:proofErr w:type="spellEnd"/>
      <w:r w:rsidRPr="00C425AD">
        <w:rPr>
          <w:i/>
          <w:iCs/>
        </w:rPr>
        <w:t xml:space="preserve">β </w:t>
      </w:r>
      <w:r w:rsidRPr="00053331">
        <w:rPr>
          <w:rFonts w:ascii="Cambria Math" w:hAnsi="Cambria Math" w:cs="Cambria Math"/>
          <w:i/>
          <w:iCs/>
          <w:vertAlign w:val="superscript"/>
        </w:rPr>
        <w:t>∗</w:t>
      </w:r>
      <w:r w:rsidRPr="00C425AD">
        <w:rPr>
          <w:i/>
          <w:iCs/>
        </w:rPr>
        <w:t xml:space="preserve"> + </w:t>
      </w:r>
      <w:proofErr w:type="spellStart"/>
      <w:r w:rsidRPr="00C425AD">
        <w:rPr>
          <w:i/>
          <w:iCs/>
        </w:rPr>
        <w:t>zj</w:t>
      </w:r>
      <w:proofErr w:type="spellEnd"/>
      <w:r>
        <w:t xml:space="preserve"> </w:t>
      </w:r>
    </w:p>
    <w:p w14:paraId="3A2FC766" w14:textId="1DF5F0ED" w:rsidR="00C425AD" w:rsidRDefault="00C425AD" w:rsidP="003466E3">
      <w:pPr>
        <w:spacing w:line="480" w:lineRule="auto"/>
      </w:pPr>
      <w:r>
        <w:t xml:space="preserve">where </w:t>
      </w:r>
      <w:proofErr w:type="spellStart"/>
      <w:r>
        <w:t>zj</w:t>
      </w:r>
      <w:proofErr w:type="spellEnd"/>
      <w:r>
        <w:t xml:space="preserve"> has an extreme-value distribution scaled by σ. Let β be the vector of regression coefficients derived from the PH model so that β </w:t>
      </w:r>
      <w:r w:rsidRPr="005A66C6">
        <w:rPr>
          <w:rFonts w:ascii="Cambria Math" w:hAnsi="Cambria Math" w:cs="Cambria Math"/>
          <w:vertAlign w:val="superscript"/>
        </w:rPr>
        <w:t>∗</w:t>
      </w:r>
      <w:r>
        <w:t xml:space="preserve"> = −σβ. This relationship holds only if the ancillary parameter, p, is a constant; it does not hold when the ancillary parameter is parameterized in terms of covariates.</w:t>
      </w:r>
      <w:r w:rsidR="00C469E8">
        <w:t xml:space="preserve"> Using the Weibull AFT model, we are able to estimate the expected survival time (</w:t>
      </w:r>
      <w:r w:rsidR="00CC7BE6">
        <w:t xml:space="preserve">i.e. </w:t>
      </w:r>
      <w:r w:rsidR="00C469E8">
        <w:t>age at diagnosis in our study)</w:t>
      </w:r>
      <w:r w:rsidR="00CC7BE6">
        <w:t xml:space="preserve"> while accounting for censoring</w:t>
      </w:r>
      <w:r w:rsidR="00C469E8">
        <w:t xml:space="preserve">.   </w:t>
      </w:r>
    </w:p>
    <w:p w14:paraId="5002CF45" w14:textId="77777777" w:rsidR="00221229" w:rsidRDefault="00221229" w:rsidP="003466E3">
      <w:pPr>
        <w:spacing w:line="480" w:lineRule="auto"/>
      </w:pPr>
      <w:r>
        <w:t>The Weibull hazard and survivor functions are</w:t>
      </w:r>
    </w:p>
    <w:p w14:paraId="3A33A7E9" w14:textId="77777777" w:rsidR="00221229" w:rsidRPr="00D46EC5" w:rsidRDefault="00221229" w:rsidP="003466E3">
      <w:pPr>
        <w:spacing w:line="480" w:lineRule="auto"/>
        <w:rPr>
          <w:i/>
          <w:iCs/>
        </w:rPr>
      </w:pPr>
      <w:r w:rsidRPr="00D46EC5">
        <w:rPr>
          <w:i/>
          <w:iCs/>
        </w:rPr>
        <w:t>h(t) = pλt</w:t>
      </w:r>
      <w:r w:rsidRPr="00D46EC5">
        <w:rPr>
          <w:i/>
          <w:iCs/>
          <w:vertAlign w:val="superscript"/>
        </w:rPr>
        <w:t>p−1</w:t>
      </w:r>
    </w:p>
    <w:p w14:paraId="7F42A709" w14:textId="77777777" w:rsidR="00221229" w:rsidRPr="00D46EC5" w:rsidRDefault="00221229" w:rsidP="003466E3">
      <w:pPr>
        <w:spacing w:line="480" w:lineRule="auto"/>
        <w:rPr>
          <w:i/>
          <w:iCs/>
        </w:rPr>
      </w:pPr>
      <w:r w:rsidRPr="00D46EC5">
        <w:rPr>
          <w:i/>
          <w:iCs/>
        </w:rPr>
        <w:t xml:space="preserve"> S(t) = exp(−</w:t>
      </w:r>
      <w:proofErr w:type="spellStart"/>
      <w:r w:rsidRPr="00D46EC5">
        <w:rPr>
          <w:i/>
          <w:iCs/>
        </w:rPr>
        <w:t>λt</w:t>
      </w:r>
      <w:r w:rsidRPr="00D46EC5">
        <w:rPr>
          <w:i/>
          <w:iCs/>
          <w:vertAlign w:val="superscript"/>
        </w:rPr>
        <w:t>p</w:t>
      </w:r>
      <w:proofErr w:type="spellEnd"/>
      <w:r w:rsidRPr="00D46EC5">
        <w:rPr>
          <w:i/>
          <w:iCs/>
        </w:rPr>
        <w:t xml:space="preserve"> ) </w:t>
      </w:r>
    </w:p>
    <w:p w14:paraId="3EE99056" w14:textId="4C7DF4FC" w:rsidR="00221229" w:rsidRPr="00DE1AFC" w:rsidRDefault="00221229" w:rsidP="003466E3">
      <w:pPr>
        <w:spacing w:line="480" w:lineRule="auto"/>
      </w:pPr>
      <w:r>
        <w:t xml:space="preserve">where </w:t>
      </w:r>
      <w:proofErr w:type="spellStart"/>
      <w:r w:rsidR="00991D89" w:rsidRPr="005D6AF7">
        <w:rPr>
          <w:i/>
          <w:iCs/>
        </w:rPr>
        <w:t>λ</w:t>
      </w:r>
      <w:r w:rsidR="00991D89" w:rsidRPr="005D6AF7">
        <w:rPr>
          <w:i/>
          <w:iCs/>
          <w:vertAlign w:val="subscript"/>
        </w:rPr>
        <w:t>j</w:t>
      </w:r>
      <w:proofErr w:type="spellEnd"/>
      <w:r w:rsidR="00991D89" w:rsidRPr="005D6AF7">
        <w:rPr>
          <w:i/>
          <w:iCs/>
        </w:rPr>
        <w:t xml:space="preserve"> = exp(</w:t>
      </w:r>
      <w:proofErr w:type="spellStart"/>
      <w:r w:rsidR="00991D89" w:rsidRPr="005D6AF7">
        <w:rPr>
          <w:i/>
          <w:iCs/>
        </w:rPr>
        <w:t>xj</w:t>
      </w:r>
      <w:proofErr w:type="spellEnd"/>
      <w:r w:rsidR="00991D89" w:rsidRPr="005D6AF7">
        <w:rPr>
          <w:i/>
          <w:iCs/>
        </w:rPr>
        <w:t>β)</w:t>
      </w:r>
      <w:r w:rsidR="001C245F">
        <w:t xml:space="preserve"> for Weibull PH models and </w:t>
      </w:r>
      <w:proofErr w:type="spellStart"/>
      <w:r w:rsidR="001C245F" w:rsidRPr="005D6AF7">
        <w:rPr>
          <w:i/>
          <w:iCs/>
        </w:rPr>
        <w:t>λ</w:t>
      </w:r>
      <w:r w:rsidR="001C245F" w:rsidRPr="005D6AF7">
        <w:rPr>
          <w:i/>
          <w:iCs/>
          <w:vertAlign w:val="subscript"/>
        </w:rPr>
        <w:t>j</w:t>
      </w:r>
      <w:proofErr w:type="spellEnd"/>
      <w:r w:rsidR="001C245F" w:rsidRPr="005D6AF7">
        <w:rPr>
          <w:i/>
          <w:iCs/>
        </w:rPr>
        <w:t xml:space="preserve"> = exp(−</w:t>
      </w:r>
      <w:proofErr w:type="spellStart"/>
      <w:r w:rsidR="001C245F" w:rsidRPr="005D6AF7">
        <w:rPr>
          <w:i/>
          <w:iCs/>
        </w:rPr>
        <w:t>pxj</w:t>
      </w:r>
      <w:proofErr w:type="spellEnd"/>
      <w:r w:rsidR="001C245F" w:rsidRPr="005D6AF7">
        <w:rPr>
          <w:i/>
          <w:iCs/>
        </w:rPr>
        <w:t>β)</w:t>
      </w:r>
      <w:r w:rsidR="001C245F">
        <w:t xml:space="preserve"> for Weibull AFT model.</w:t>
      </w:r>
    </w:p>
    <w:p w14:paraId="1867DE0B" w14:textId="77777777" w:rsidR="001C245F" w:rsidRDefault="001C245F" w:rsidP="003466E3">
      <w:pPr>
        <w:spacing w:line="480" w:lineRule="auto"/>
        <w:rPr>
          <w:i/>
          <w:iCs/>
        </w:rPr>
      </w:pPr>
    </w:p>
    <w:p w14:paraId="469D26E2" w14:textId="172C4536" w:rsidR="003466E3" w:rsidRPr="009A1E8B" w:rsidRDefault="003466E3" w:rsidP="003466E3">
      <w:pPr>
        <w:spacing w:line="480" w:lineRule="auto"/>
        <w:rPr>
          <w:i/>
          <w:iCs/>
        </w:rPr>
      </w:pPr>
      <w:r>
        <w:rPr>
          <w:i/>
          <w:iCs/>
        </w:rPr>
        <w:t>Cox-Proportional Hazards and Cox-Mixed effects regression models</w:t>
      </w:r>
    </w:p>
    <w:p w14:paraId="15E97815" w14:textId="2E5D9B93" w:rsidR="003466E3" w:rsidRDefault="003466E3" w:rsidP="003466E3">
      <w:pPr>
        <w:spacing w:line="480" w:lineRule="auto"/>
      </w:pPr>
      <w:r>
        <w:t xml:space="preserve">The </w:t>
      </w:r>
      <w:r w:rsidR="00950312">
        <w:t xml:space="preserve">hazard </w:t>
      </w:r>
      <w:r>
        <w:t xml:space="preserve">of cancer diagnosis as a function of </w:t>
      </w:r>
      <w:r w:rsidR="00C469E8">
        <w:t xml:space="preserve">generation </w:t>
      </w:r>
      <w:r>
        <w:t>was also estimated using a semi-parametric Cox-proportional hazard model outlined below.</w:t>
      </w:r>
    </w:p>
    <w:p w14:paraId="38B07826" w14:textId="77777777" w:rsidR="003466E3" w:rsidRDefault="003466E3" w:rsidP="003466E3">
      <w:pPr>
        <w:spacing w:line="480" w:lineRule="auto"/>
      </w:pPr>
    </w:p>
    <w:p w14:paraId="64FE1E52" w14:textId="77777777" w:rsidR="003466E3" w:rsidRDefault="00000000" w:rsidP="003466E3">
      <w:pPr>
        <w:spacing w:line="480" w:lineRule="auto"/>
        <w:jc w:val="center"/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w:rPr>
                  <w:rFonts w:ascii="Cambria Math" w:eastAsia="Cambria Math" w:hAnsi="Cambria Math" w:cs="Cambria Math"/>
                </w:rPr>
                <m:t>i</m:t>
              </m:r>
            </m:sub>
          </m:sSub>
          <m:d>
            <m:dPr>
              <m:ctrlPr>
                <w:rPr>
                  <w:rFonts w:ascii="Cambria Math" w:eastAsia="Cambria Math" w:hAnsi="Cambria Math" w:cs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t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ij</m:t>
                  </m:r>
                </m:sub>
              </m:sSub>
            </m:e>
          </m:d>
          <m:r>
            <w:rPr>
              <w:rFonts w:ascii="Cambria Math" w:eastAsia="Cambria Math" w:hAnsi="Cambria Math" w:cs="Cambria Math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λ</m:t>
              </m:r>
            </m:e>
            <m:sub>
              <m:r>
                <w:rPr>
                  <w:rFonts w:ascii="Cambria Math" w:eastAsia="Cambria Math" w:hAnsi="Cambria Math" w:cs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="Cambria Math" w:hAnsi="Cambria Math" w:cs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t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ij</m:t>
                  </m:r>
                </m:sub>
              </m:sSub>
            </m:e>
          </m:d>
          <m:r>
            <w:rPr>
              <w:rFonts w:ascii="Cambria Math" w:eastAsia="Cambria Math" w:hAnsi="Cambria Math" w:cs="Cambria Math"/>
            </w:rPr>
            <m:t>exp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 xml:space="preserve">(β </m:t>
          </m:r>
          <m:sSub>
            <m:sSubPr>
              <m:ctrlPr>
                <w:rPr>
                  <w:rFonts w:ascii="Cambria Math" w:eastAsia="Cambria Math" w:hAnsi="Cambria Math" w:cs="Cambria Math"/>
                </w:rPr>
              </m:ctrlPr>
            </m:sSubPr>
            <m:e>
              <m:r>
                <w:rPr>
                  <w:rFonts w:ascii="Cambria Math" w:eastAsia="Cambria Math" w:hAnsi="Cambria Math" w:cs="Cambria Math"/>
                </w:rPr>
                <m:t>X</m:t>
              </m:r>
            </m:e>
            <m:sub>
              <m:r>
                <w:rPr>
                  <w:rFonts w:ascii="Cambria Math" w:eastAsia="Cambria Math" w:hAnsi="Cambria Math" w:cs="Cambria Math"/>
                </w:rPr>
                <m:t>ij</m:t>
              </m:r>
            </m:sub>
          </m:sSub>
          <m:r>
            <w:rPr>
              <w:rFonts w:ascii="Cambria Math" w:eastAsia="Cambria Math" w:hAnsi="Cambria Math" w:cs="Cambria Math"/>
            </w:rPr>
            <m:t>)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03DE2BCD" w14:textId="77777777" w:rsidR="003466E3" w:rsidRDefault="003466E3" w:rsidP="003466E3">
      <w:pPr>
        <w:spacing w:line="480" w:lineRule="auto"/>
      </w:pPr>
    </w:p>
    <w:p w14:paraId="7D42FC2F" w14:textId="77777777" w:rsidR="003466E3" w:rsidRPr="009A1E8B" w:rsidRDefault="003466E3" w:rsidP="003466E3">
      <w:pPr>
        <w:pStyle w:val="Heading4"/>
        <w:numPr>
          <w:ilvl w:val="0"/>
          <w:numId w:val="0"/>
        </w:numPr>
        <w:spacing w:line="480" w:lineRule="auto"/>
        <w:ind w:left="720"/>
        <w:contextualSpacing/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</w:pP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sym w:font="Symbol" w:char="F06C"/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 xml:space="preserve">I 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= hazard of cancer for member i</w:t>
      </w:r>
    </w:p>
    <w:p w14:paraId="0DD1976E" w14:textId="77777777" w:rsidR="003466E3" w:rsidRPr="009A1E8B" w:rsidRDefault="003466E3" w:rsidP="003466E3">
      <w:pPr>
        <w:pStyle w:val="Heading4"/>
        <w:numPr>
          <w:ilvl w:val="0"/>
          <w:numId w:val="0"/>
        </w:numPr>
        <w:spacing w:line="480" w:lineRule="auto"/>
        <w:ind w:left="720"/>
        <w:contextualSpacing/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</w:pPr>
      <w:proofErr w:type="spellStart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t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>ij</w:t>
      </w:r>
      <w:proofErr w:type="spellEnd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 xml:space="preserve"> 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= age at first diagnosis or age at censoring for member i in family j</w:t>
      </w:r>
    </w:p>
    <w:p w14:paraId="3CAB1048" w14:textId="77777777" w:rsidR="003466E3" w:rsidRPr="009A1E8B" w:rsidRDefault="003466E3" w:rsidP="003466E3">
      <w:pPr>
        <w:pStyle w:val="Heading4"/>
        <w:numPr>
          <w:ilvl w:val="0"/>
          <w:numId w:val="0"/>
        </w:numPr>
        <w:spacing w:line="240" w:lineRule="auto"/>
        <w:ind w:left="720"/>
        <w:contextualSpacing/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</w:pPr>
      <m:oMath>
        <m:r>
          <w:rPr>
            <w:rFonts w:ascii="Cambria Math" w:eastAsia="Cambria Math" w:hAnsi="Cambria Math" w:cstheme="minorHAnsi"/>
            <w:sz w:val="24"/>
            <w:szCs w:val="24"/>
          </w:rPr>
          <m:t>λ</m:t>
        </m:r>
      </m:oMath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>0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(</w:t>
      </w:r>
      <w:proofErr w:type="spellStart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t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>ij</w:t>
      </w:r>
      <w:proofErr w:type="spellEnd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 xml:space="preserve">) = the baseline hazard, which is left completely unspecified </w:t>
      </w:r>
    </w:p>
    <w:p w14:paraId="099C7247" w14:textId="77777777" w:rsidR="003466E3" w:rsidRPr="009A1E8B" w:rsidRDefault="003466E3" w:rsidP="003466E3">
      <w:pPr>
        <w:pStyle w:val="Heading4"/>
        <w:numPr>
          <w:ilvl w:val="0"/>
          <w:numId w:val="0"/>
        </w:numPr>
        <w:spacing w:line="240" w:lineRule="auto"/>
        <w:ind w:left="720"/>
        <w:contextualSpacing/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</w:pPr>
      <m:oMath>
        <m:r>
          <w:rPr>
            <w:rFonts w:ascii="Cambria Math" w:eastAsia="Cambria Math" w:hAnsi="Cambria Math" w:cstheme="minorHAnsi"/>
            <w:sz w:val="24"/>
            <w:szCs w:val="24"/>
          </w:rPr>
          <m:t>β</m:t>
        </m:r>
      </m:oMath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 xml:space="preserve"> = coefficient for fixed effects </w:t>
      </w:r>
      <w:proofErr w:type="spellStart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X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>ij</w:t>
      </w:r>
      <w:proofErr w:type="spellEnd"/>
    </w:p>
    <w:p w14:paraId="51D8B248" w14:textId="77777777" w:rsidR="003466E3" w:rsidRPr="009A1E8B" w:rsidRDefault="003466E3" w:rsidP="003466E3">
      <w:pPr>
        <w:pStyle w:val="Heading4"/>
        <w:numPr>
          <w:ilvl w:val="0"/>
          <w:numId w:val="0"/>
        </w:numPr>
        <w:spacing w:line="240" w:lineRule="auto"/>
        <w:ind w:left="720"/>
        <w:contextualSpacing/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</w:pPr>
      <w:proofErr w:type="spellStart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>X</w:t>
      </w:r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  <w:vertAlign w:val="subscript"/>
        </w:rPr>
        <w:t>ij</w:t>
      </w:r>
      <w:proofErr w:type="spellEnd"/>
      <w:r w:rsidRPr="009A1E8B">
        <w:rPr>
          <w:rFonts w:asciiTheme="minorHAnsi" w:eastAsia="Calibri" w:hAnsiTheme="minorHAnsi" w:cstheme="minorHAnsi"/>
          <w:i w:val="0"/>
          <w:color w:val="000000"/>
          <w:sz w:val="24"/>
          <w:szCs w:val="24"/>
        </w:rPr>
        <w:t xml:space="preserve"> = design matrix for fixed covariates </w:t>
      </w:r>
    </w:p>
    <w:p w14:paraId="013C5F9C" w14:textId="77777777" w:rsidR="003466E3" w:rsidRDefault="003466E3" w:rsidP="003466E3">
      <w:pPr>
        <w:rPr>
          <w:color w:val="000000"/>
        </w:rPr>
      </w:pPr>
    </w:p>
    <w:p w14:paraId="042C82EC" w14:textId="63F0094B" w:rsidR="003466E3" w:rsidRDefault="003466E3" w:rsidP="003466E3">
      <w:pPr>
        <w:spacing w:line="480" w:lineRule="auto"/>
      </w:pPr>
      <w:r>
        <w:rPr>
          <w:color w:val="000000"/>
        </w:rPr>
        <w:t xml:space="preserve">The Cox proportional hazard model was fitted with </w:t>
      </w:r>
      <w:proofErr w:type="spellStart"/>
      <w:r>
        <w:rPr>
          <w:i/>
          <w:color w:val="000000"/>
        </w:rPr>
        <w:t>coxph</w:t>
      </w:r>
      <w:proofErr w:type="spellEnd"/>
      <w:r>
        <w:rPr>
          <w:color w:val="000000"/>
        </w:rPr>
        <w:t xml:space="preserve"> function of the “Survival” 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ADDIN EN.CITE &lt;EndNote&gt;&lt;Cite&gt;&lt;Author&gt;Therneau&lt;/Author&gt;&lt;Year&gt;2021&lt;/Year&gt;&lt;RecNum&gt;68&lt;/RecNum&gt;&lt;DisplayText&gt;(Therneau, 2021)&lt;/DisplayText&gt;&lt;record&gt;&lt;rec-number&gt;68&lt;/rec-number&gt;&lt;foreign-keys&gt;&lt;key app="EN" db-id="zxtsxwdr5xe9tkefddnxstd2pwtpxz0pz0zd" timestamp="1624751910"&gt;68&lt;/key&gt;&lt;/foreign-keys&gt;&lt;ref-type name="Computer Program"&gt;9&lt;/ref-type&gt;&lt;contributors&gt;&lt;authors&gt;&lt;author&gt;Therneau, T&lt;/author&gt;&lt;/authors&gt;&lt;/contributors&gt;&lt;titles&gt;&lt;title&gt;A Package for Survival Analysis in R&lt;/title&gt;&lt;/titles&gt;&lt;edition&gt;R package version 3.2-11&lt;/edition&gt;&lt;dates&gt;&lt;year&gt;2021&lt;/year&gt;&lt;/dates&gt;&lt;urls&gt;&lt;related-urls&gt;&lt;url&gt;https://CRAN.R-project.org/package=survival.&lt;/url&gt;&lt;/related-urls&gt;&lt;/urls&gt;&lt;/record&gt;&lt;/Cite&gt;&lt;/EndNote&gt;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(Therneau, 2021)</w:t>
      </w:r>
      <w:r>
        <w:rPr>
          <w:color w:val="000000"/>
        </w:rPr>
        <w:fldChar w:fldCharType="end"/>
      </w:r>
      <w:r>
        <w:rPr>
          <w:color w:val="000000"/>
        </w:rPr>
        <w:t xml:space="preserve"> package in R. Unmeasured random effects attributable to familial variation were also modeled into the Cox-PH as a mixed effects model  (Cox-ME) using the </w:t>
      </w:r>
      <w:proofErr w:type="spellStart"/>
      <w:r>
        <w:rPr>
          <w:i/>
          <w:color w:val="000000"/>
        </w:rPr>
        <w:t>coxme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 xml:space="preserve"> package in R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ADDIN EN.CITE &lt;EndNote&gt;&lt;Cite&gt;&lt;Author&gt;Therneau&lt;/Author&gt;&lt;Year&gt;2020&lt;/Year&gt;&lt;RecNum&gt;79&lt;/RecNum&gt;&lt;DisplayText&gt;(Therneau, 2020)&lt;/DisplayText&gt;&lt;record&gt;&lt;rec-number&gt;79&lt;/rec-number&gt;&lt;foreign-keys&gt;&lt;key app="EN" db-id="zxtsxwdr5xe9tkefddnxstd2pwtpxz0pz0zd" timestamp="1642430415"&gt;79&lt;/key&gt;&lt;/foreign-keys&gt;&lt;ref-type name="Web Page"&gt;12&lt;/ref-type&gt;&lt;contributors&gt;&lt;authors&gt;&lt;author&gt;Therneau, TM&lt;/author&gt;&lt;/authors&gt;&lt;/contributors&gt;&lt;titles&gt;&lt;title&gt;coxme: Mixed Effects Cox Models&lt;/title&gt;&lt;/titles&gt;&lt;dates&gt;&lt;year&gt;2020&lt;/year&gt;&lt;/dates&gt;&lt;urls&gt;&lt;related-urls&gt;&lt;url&gt;https://CRAN.R-project.org/package=coxme&lt;/url&gt;&lt;/related-urls&gt;&lt;/urls&gt;&lt;/record&gt;&lt;/Cite&gt;&lt;/EndNote&gt;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(Therneau, 2020)</w:t>
      </w:r>
      <w:r>
        <w:rPr>
          <w:color w:val="000000"/>
        </w:rPr>
        <w:fldChar w:fldCharType="end"/>
      </w:r>
      <w:r>
        <w:rPr>
          <w:color w:val="000000"/>
        </w:rPr>
        <w:t xml:space="preserve">. Mutation probabilities were estimated using the program </w:t>
      </w:r>
      <w:proofErr w:type="spellStart"/>
      <w:r>
        <w:rPr>
          <w:color w:val="000000"/>
        </w:rPr>
        <w:t>MMRpro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fldChar w:fldCharType="begin">
          <w:fldData xml:space="preserve">PEVuZE5vdGU+PENpdGU+PEF1dGhvcj5DaGVuPC9BdXRob3I+PFllYXI+MjAwNjwvWWVhcj48UmVj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</w:fldData>
        </w:fldChar>
      </w:r>
      <w:r>
        <w:rPr>
          <w:color w:val="000000"/>
        </w:rPr>
        <w:instrText xml:space="preserve"> ADDIN EN.CITE </w:instrText>
      </w:r>
      <w:r>
        <w:rPr>
          <w:color w:val="000000"/>
        </w:rPr>
        <w:fldChar w:fldCharType="begin">
          <w:fldData xml:space="preserve">PEVuZE5vdGU+PENpdGU+PEF1dGhvcj5DaGVuPC9BdXRob3I+PFllYXI+MjAwNjwvWWVhcj48UmVj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</w:fldData>
        </w:fldChar>
      </w:r>
      <w:r>
        <w:rPr>
          <w:color w:val="000000"/>
        </w:rPr>
        <w:instrText xml:space="preserve"> ADDIN EN.CITE.DATA </w:instrText>
      </w:r>
      <w:r>
        <w:rPr>
          <w:color w:val="000000"/>
        </w:rPr>
      </w:r>
      <w:r>
        <w:rPr>
          <w:color w:val="000000"/>
        </w:rPr>
        <w:fldChar w:fldCharType="end"/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  <w:color w:val="000000"/>
        </w:rPr>
        <w:t>(Chen et al., 2006)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t xml:space="preserve">and </w:t>
      </w:r>
      <w:r>
        <w:rPr>
          <w:color w:val="000000"/>
        </w:rPr>
        <w:t xml:space="preserve">used as analytical weights in both Cox-PH and Cox-ME models to avoid testing bias as not all members of families had been tested for </w:t>
      </w:r>
      <w:r>
        <w:rPr>
          <w:i/>
        </w:rPr>
        <w:t xml:space="preserve">MLH1 </w:t>
      </w:r>
      <w:r>
        <w:rPr>
          <w:color w:val="000000"/>
        </w:rPr>
        <w:t>variants.</w:t>
      </w:r>
      <w:r w:rsidR="00C818AE">
        <w:rPr>
          <w:color w:val="000000"/>
        </w:rPr>
        <w:t xml:space="preserve"> </w:t>
      </w:r>
      <w:r w:rsidR="00FC2336">
        <w:rPr>
          <w:color w:val="000000"/>
        </w:rPr>
        <w:t>Both</w:t>
      </w:r>
      <w:r w:rsidR="00C818AE">
        <w:rPr>
          <w:color w:val="000000"/>
        </w:rPr>
        <w:t xml:space="preserve"> models were run with and without probands.</w:t>
      </w:r>
      <w:r>
        <w:rPr>
          <w:color w:val="000000"/>
        </w:rPr>
        <w:t xml:space="preserve"> </w:t>
      </w:r>
      <w:r w:rsidR="00C818AE">
        <w:t>Birth-cohorts</w:t>
      </w:r>
      <w:r>
        <w:t xml:space="preserve"> younger than 20 years </w:t>
      </w:r>
      <w:r w:rsidR="00F86B44">
        <w:t>were not</w:t>
      </w:r>
      <w:r>
        <w:t xml:space="preserve"> included as not all generations had cancer diagnosis between birth and 21 years of age.</w:t>
      </w:r>
    </w:p>
    <w:p w14:paraId="3AA74165" w14:textId="77777777" w:rsidR="003466E3" w:rsidRDefault="003466E3" w:rsidP="003466E3">
      <w:pPr>
        <w:spacing w:line="480" w:lineRule="auto"/>
      </w:pPr>
    </w:p>
    <w:p w14:paraId="6ECBE356" w14:textId="6BEFC45A" w:rsidR="00BC4EBC" w:rsidRPr="00791070" w:rsidRDefault="00791070">
      <w:pPr>
        <w:rPr>
          <w:sz w:val="36"/>
        </w:rPr>
      </w:pPr>
      <w:r w:rsidRPr="00791070">
        <w:rPr>
          <w:sz w:val="36"/>
        </w:rPr>
        <w:t>REFERENCES</w:t>
      </w:r>
    </w:p>
    <w:p w14:paraId="28C7887F" w14:textId="77777777" w:rsidR="00BC4EBC" w:rsidRDefault="00BC4EBC"/>
    <w:p w14:paraId="5CF37FFF" w14:textId="59414354" w:rsidR="00B439CC" w:rsidRPr="00B439CC" w:rsidRDefault="00BC4EBC" w:rsidP="00B439CC">
      <w:pPr>
        <w:pStyle w:val="EndNoteBibliography"/>
        <w:ind w:left="720" w:hanging="720"/>
        <w:rPr>
          <w:noProof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B439CC" w:rsidRPr="00B439CC">
        <w:rPr>
          <w:noProof/>
        </w:rPr>
        <w:t xml:space="preserve">Bauer, D. F. (1972). Constructing Confidence Sets Using Rank Statistics. </w:t>
      </w:r>
      <w:r w:rsidR="00B439CC" w:rsidRPr="00B439CC">
        <w:rPr>
          <w:i/>
          <w:noProof/>
        </w:rPr>
        <w:t>Journal of the American Statistical Association</w:t>
      </w:r>
      <w:r w:rsidR="00B439CC" w:rsidRPr="00B439CC">
        <w:rPr>
          <w:noProof/>
        </w:rPr>
        <w:t>,</w:t>
      </w:r>
      <w:r w:rsidR="00B439CC" w:rsidRPr="00B439CC">
        <w:rPr>
          <w:i/>
          <w:noProof/>
        </w:rPr>
        <w:t xml:space="preserve"> 67</w:t>
      </w:r>
      <w:r w:rsidR="00B439CC" w:rsidRPr="00B439CC">
        <w:rPr>
          <w:noProof/>
        </w:rPr>
        <w:t xml:space="preserve">(339), 687-690. </w:t>
      </w:r>
      <w:hyperlink r:id="rId6" w:history="1">
        <w:r w:rsidR="00B439CC" w:rsidRPr="00B439CC">
          <w:rPr>
            <w:rStyle w:val="Hyperlink"/>
            <w:noProof/>
          </w:rPr>
          <w:t>https://doi.org/10.1080/01621459.1972.10481279</w:t>
        </w:r>
      </w:hyperlink>
      <w:r w:rsidR="00B439CC" w:rsidRPr="00B439CC">
        <w:rPr>
          <w:noProof/>
        </w:rPr>
        <w:t xml:space="preserve"> </w:t>
      </w:r>
    </w:p>
    <w:p w14:paraId="47313CC8" w14:textId="7BA65EE3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Chen, S., Wang, W., Lee, S., Nafa, K., Lee, J., Romans, K., Watson, P., Gruber, S. B., Euhus, D., Kinzler, K. W., Jass, J., Gallinger, S., Lindor, N. M., Casey, G., Ellis, N., Giardiello, F. M., Offit, K., Parmigiani, G., &amp; Colon Cancer Family, R. (2006). Prediction of germline mutations and cancer risk in the Lynch syndrome. </w:t>
      </w:r>
      <w:r w:rsidRPr="00B439CC">
        <w:rPr>
          <w:i/>
          <w:noProof/>
        </w:rPr>
        <w:t>JAMA</w:t>
      </w:r>
      <w:r w:rsidRPr="00B439CC">
        <w:rPr>
          <w:noProof/>
        </w:rPr>
        <w:t>,</w:t>
      </w:r>
      <w:r w:rsidRPr="00B439CC">
        <w:rPr>
          <w:i/>
          <w:noProof/>
        </w:rPr>
        <w:t xml:space="preserve"> 296</w:t>
      </w:r>
      <w:r w:rsidRPr="00B439CC">
        <w:rPr>
          <w:noProof/>
        </w:rPr>
        <w:t xml:space="preserve">(12), 1479-1487. </w:t>
      </w:r>
      <w:hyperlink r:id="rId7" w:history="1">
        <w:r w:rsidRPr="00B439CC">
          <w:rPr>
            <w:rStyle w:val="Hyperlink"/>
            <w:noProof/>
          </w:rPr>
          <w:t>https://doi.org/10.1001/jama.296.12.1479</w:t>
        </w:r>
      </w:hyperlink>
      <w:r w:rsidRPr="00B439CC">
        <w:rPr>
          <w:noProof/>
        </w:rPr>
        <w:t xml:space="preserve"> </w:t>
      </w:r>
    </w:p>
    <w:p w14:paraId="5638F20B" w14:textId="77777777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Geyer, C. J. (2003). Stat 5102 Notes: Nonparametric tests and confidence intervals. Retrieved 7/7/2023, from </w:t>
      </w:r>
    </w:p>
    <w:p w14:paraId="32692E5B" w14:textId="43A830F6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Hadley, W. F., R.; Henry,L.;Muller,K. (2021). </w:t>
      </w:r>
      <w:r w:rsidRPr="00B439CC">
        <w:rPr>
          <w:i/>
          <w:noProof/>
        </w:rPr>
        <w:t>dplyr: A Grammar of Data Manipulation . R package version 1.0.7</w:t>
      </w:r>
      <w:r w:rsidRPr="00B439CC">
        <w:rPr>
          <w:noProof/>
        </w:rPr>
        <w:t xml:space="preserve">. </w:t>
      </w:r>
      <w:hyperlink r:id="rId8" w:history="1">
        <w:r w:rsidRPr="00B439CC">
          <w:rPr>
            <w:rStyle w:val="Hyperlink"/>
            <w:noProof/>
          </w:rPr>
          <w:t>https://CRAN.R-project.org/package=dplyr</w:t>
        </w:r>
      </w:hyperlink>
    </w:p>
    <w:p w14:paraId="6C23DCDE" w14:textId="00981794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lastRenderedPageBreak/>
        <w:t xml:space="preserve">R Core Team. (2021). </w:t>
      </w:r>
      <w:r w:rsidRPr="00B439CC">
        <w:rPr>
          <w:i/>
          <w:noProof/>
        </w:rPr>
        <w:t>R: A language and environment for statistical computing</w:t>
      </w:r>
      <w:r w:rsidRPr="00B439CC">
        <w:rPr>
          <w:noProof/>
        </w:rPr>
        <w:t>.</w:t>
      </w:r>
      <w:r w:rsidRPr="00B439CC">
        <w:rPr>
          <w:i/>
          <w:noProof/>
        </w:rPr>
        <w:t xml:space="preserve"> </w:t>
      </w:r>
      <w:r w:rsidRPr="00B439CC">
        <w:rPr>
          <w:noProof/>
        </w:rPr>
        <w:t xml:space="preserve">In (Version 4.1.0) R Foundation for Statistical Computing. </w:t>
      </w:r>
      <w:hyperlink r:id="rId9" w:history="1">
        <w:r w:rsidRPr="00B439CC">
          <w:rPr>
            <w:rStyle w:val="Hyperlink"/>
            <w:noProof/>
          </w:rPr>
          <w:t>https://www.R-project.org/</w:t>
        </w:r>
      </w:hyperlink>
    </w:p>
    <w:p w14:paraId="5FD06186" w14:textId="4F066611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STATA. (2023). </w:t>
      </w:r>
      <w:r w:rsidRPr="00B439CC">
        <w:rPr>
          <w:i/>
          <w:noProof/>
        </w:rPr>
        <w:t>Stata Statistical Software:Release 18</w:t>
      </w:r>
      <w:r w:rsidRPr="00B439CC">
        <w:rPr>
          <w:noProof/>
        </w:rPr>
        <w:t xml:space="preserve">. StataCorp LLC. </w:t>
      </w:r>
      <w:hyperlink r:id="rId10" w:history="1">
        <w:r w:rsidRPr="00B439CC">
          <w:rPr>
            <w:rStyle w:val="Hyperlink"/>
            <w:noProof/>
          </w:rPr>
          <w:t>https://www.stata.com/manuals/ststreg.pdf</w:t>
        </w:r>
      </w:hyperlink>
    </w:p>
    <w:p w14:paraId="4D677F2C" w14:textId="0FCB2538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Therneau, T. (2020). </w:t>
      </w:r>
      <w:r w:rsidRPr="00B439CC">
        <w:rPr>
          <w:i/>
          <w:noProof/>
        </w:rPr>
        <w:t>coxme: Mixed Effects Cox Models</w:t>
      </w:r>
      <w:r w:rsidRPr="00B439CC">
        <w:rPr>
          <w:noProof/>
        </w:rPr>
        <w:t xml:space="preserve">. </w:t>
      </w:r>
      <w:hyperlink r:id="rId11" w:history="1">
        <w:r w:rsidRPr="00B439CC">
          <w:rPr>
            <w:rStyle w:val="Hyperlink"/>
            <w:noProof/>
          </w:rPr>
          <w:t>https://CRAN.R-project.org/package=coxme</w:t>
        </w:r>
      </w:hyperlink>
    </w:p>
    <w:p w14:paraId="19034E0E" w14:textId="376957E0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Therneau, T. (2021). </w:t>
      </w:r>
      <w:r w:rsidRPr="00B439CC">
        <w:rPr>
          <w:i/>
          <w:noProof/>
        </w:rPr>
        <w:t>A Package for Survival Analysis in R</w:t>
      </w:r>
      <w:r w:rsidRPr="00B439CC">
        <w:rPr>
          <w:noProof/>
        </w:rPr>
        <w:t>.</w:t>
      </w:r>
      <w:r w:rsidRPr="00B439CC">
        <w:rPr>
          <w:i/>
          <w:noProof/>
        </w:rPr>
        <w:t xml:space="preserve"> </w:t>
      </w:r>
      <w:r w:rsidRPr="00B439CC">
        <w:rPr>
          <w:noProof/>
        </w:rPr>
        <w:t xml:space="preserve">In (Version R package version 3.2-11) </w:t>
      </w:r>
      <w:hyperlink r:id="rId12" w:history="1">
        <w:r w:rsidRPr="00B439CC">
          <w:rPr>
            <w:rStyle w:val="Hyperlink"/>
            <w:noProof/>
          </w:rPr>
          <w:t>https://CRAN.R-project.org/package=survival</w:t>
        </w:r>
      </w:hyperlink>
      <w:r w:rsidRPr="00B439CC">
        <w:rPr>
          <w:noProof/>
        </w:rPr>
        <w:t>.</w:t>
      </w:r>
    </w:p>
    <w:p w14:paraId="3AB3F566" w14:textId="10E68583" w:rsidR="00B439CC" w:rsidRPr="00B439CC" w:rsidRDefault="00B439CC" w:rsidP="00B439CC">
      <w:pPr>
        <w:pStyle w:val="EndNoteBibliography"/>
        <w:ind w:left="720" w:hanging="720"/>
        <w:rPr>
          <w:noProof/>
        </w:rPr>
      </w:pPr>
      <w:r w:rsidRPr="00B439CC">
        <w:rPr>
          <w:noProof/>
        </w:rPr>
        <w:t xml:space="preserve">Toutenburg, H. (1975). Hollander, M., D. A. Wolfe: Nonparametric statistical methods. John Wiley &amp; Sons, New York-Sydney-Tokyo-Mexico City 1973. 503 S., $9.50. </w:t>
      </w:r>
      <w:r w:rsidRPr="00B439CC">
        <w:rPr>
          <w:i/>
          <w:noProof/>
        </w:rPr>
        <w:t>Biometrische Zeitschrift</w:t>
      </w:r>
      <w:r w:rsidRPr="00B439CC">
        <w:rPr>
          <w:noProof/>
        </w:rPr>
        <w:t>,</w:t>
      </w:r>
      <w:r w:rsidRPr="00B439CC">
        <w:rPr>
          <w:i/>
          <w:noProof/>
        </w:rPr>
        <w:t xml:space="preserve"> 17</w:t>
      </w:r>
      <w:r w:rsidRPr="00B439CC">
        <w:rPr>
          <w:noProof/>
        </w:rPr>
        <w:t xml:space="preserve">(8), 526-526. </w:t>
      </w:r>
      <w:hyperlink r:id="rId13" w:history="1">
        <w:r w:rsidRPr="00B439CC">
          <w:rPr>
            <w:rStyle w:val="Hyperlink"/>
            <w:noProof/>
          </w:rPr>
          <w:t>https://doi.org/https://doi.org/10.1002/bimj.19750170808</w:t>
        </w:r>
      </w:hyperlink>
      <w:r w:rsidRPr="00B439CC">
        <w:rPr>
          <w:noProof/>
        </w:rPr>
        <w:t xml:space="preserve"> </w:t>
      </w:r>
    </w:p>
    <w:p w14:paraId="4FAD7BC2" w14:textId="26EF3275" w:rsidR="00AA2188" w:rsidRDefault="00BC4EBC">
      <w:r>
        <w:fldChar w:fldCharType="end"/>
      </w:r>
    </w:p>
    <w:sectPr w:rsidR="00AA2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81533"/>
    <w:multiLevelType w:val="multilevel"/>
    <w:tmpl w:val="D3B8B1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21201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e5xdateqt9d2lee2e85z5siprfvsvd5wafw&quot;&gt;Anticipation&lt;record-ids&gt;&lt;item&gt;20&lt;/item&gt;&lt;/record-ids&gt;&lt;/item&gt;&lt;/Libraries&gt;"/>
  </w:docVars>
  <w:rsids>
    <w:rsidRoot w:val="003466E3"/>
    <w:rsid w:val="000024F2"/>
    <w:rsid w:val="00030F6A"/>
    <w:rsid w:val="000408B5"/>
    <w:rsid w:val="0004430E"/>
    <w:rsid w:val="00044D02"/>
    <w:rsid w:val="00053331"/>
    <w:rsid w:val="00062923"/>
    <w:rsid w:val="0007088C"/>
    <w:rsid w:val="00083BCD"/>
    <w:rsid w:val="000E13B7"/>
    <w:rsid w:val="000E653B"/>
    <w:rsid w:val="000F1A2D"/>
    <w:rsid w:val="00102984"/>
    <w:rsid w:val="00135332"/>
    <w:rsid w:val="001527C7"/>
    <w:rsid w:val="001536D5"/>
    <w:rsid w:val="00173B61"/>
    <w:rsid w:val="0018509A"/>
    <w:rsid w:val="00185E2A"/>
    <w:rsid w:val="00191782"/>
    <w:rsid w:val="0019185B"/>
    <w:rsid w:val="001A29F9"/>
    <w:rsid w:val="001A2B72"/>
    <w:rsid w:val="001C07D4"/>
    <w:rsid w:val="001C245F"/>
    <w:rsid w:val="001D01FC"/>
    <w:rsid w:val="001D02F6"/>
    <w:rsid w:val="001D63E3"/>
    <w:rsid w:val="00220AC1"/>
    <w:rsid w:val="00221229"/>
    <w:rsid w:val="00221671"/>
    <w:rsid w:val="00234986"/>
    <w:rsid w:val="002823F2"/>
    <w:rsid w:val="0028478D"/>
    <w:rsid w:val="002F15C9"/>
    <w:rsid w:val="002F170A"/>
    <w:rsid w:val="00316B08"/>
    <w:rsid w:val="00321810"/>
    <w:rsid w:val="00327878"/>
    <w:rsid w:val="003466E3"/>
    <w:rsid w:val="003604B8"/>
    <w:rsid w:val="00363FC2"/>
    <w:rsid w:val="003719DA"/>
    <w:rsid w:val="0037613D"/>
    <w:rsid w:val="003A13AD"/>
    <w:rsid w:val="003A6F1C"/>
    <w:rsid w:val="003C58C4"/>
    <w:rsid w:val="003D7477"/>
    <w:rsid w:val="0040526F"/>
    <w:rsid w:val="00427074"/>
    <w:rsid w:val="00430B45"/>
    <w:rsid w:val="00434945"/>
    <w:rsid w:val="0043627E"/>
    <w:rsid w:val="00455518"/>
    <w:rsid w:val="00460F0F"/>
    <w:rsid w:val="00480D56"/>
    <w:rsid w:val="00486DB4"/>
    <w:rsid w:val="004A4432"/>
    <w:rsid w:val="004C2811"/>
    <w:rsid w:val="004C3EC4"/>
    <w:rsid w:val="004E2E30"/>
    <w:rsid w:val="00500DAE"/>
    <w:rsid w:val="005039C5"/>
    <w:rsid w:val="00520067"/>
    <w:rsid w:val="005377C0"/>
    <w:rsid w:val="005470E7"/>
    <w:rsid w:val="005651CE"/>
    <w:rsid w:val="005860BF"/>
    <w:rsid w:val="00596A07"/>
    <w:rsid w:val="005A66C6"/>
    <w:rsid w:val="005C5686"/>
    <w:rsid w:val="005D2863"/>
    <w:rsid w:val="005D6AF7"/>
    <w:rsid w:val="005E03B6"/>
    <w:rsid w:val="005E75F6"/>
    <w:rsid w:val="005E7A61"/>
    <w:rsid w:val="005F72EF"/>
    <w:rsid w:val="00625B15"/>
    <w:rsid w:val="00646D58"/>
    <w:rsid w:val="0065194B"/>
    <w:rsid w:val="006561C3"/>
    <w:rsid w:val="006609CC"/>
    <w:rsid w:val="00695E98"/>
    <w:rsid w:val="00697ECF"/>
    <w:rsid w:val="006A4F66"/>
    <w:rsid w:val="006C63D4"/>
    <w:rsid w:val="006D027A"/>
    <w:rsid w:val="006D153B"/>
    <w:rsid w:val="006D2E6B"/>
    <w:rsid w:val="006D59AF"/>
    <w:rsid w:val="006D6391"/>
    <w:rsid w:val="006E0AB2"/>
    <w:rsid w:val="006E1ED4"/>
    <w:rsid w:val="006E292A"/>
    <w:rsid w:val="006E52C6"/>
    <w:rsid w:val="006F0EA1"/>
    <w:rsid w:val="006F68E9"/>
    <w:rsid w:val="00715CD8"/>
    <w:rsid w:val="007243D4"/>
    <w:rsid w:val="00724D90"/>
    <w:rsid w:val="00756840"/>
    <w:rsid w:val="007579CC"/>
    <w:rsid w:val="007860A6"/>
    <w:rsid w:val="00791070"/>
    <w:rsid w:val="00792FCB"/>
    <w:rsid w:val="007D298C"/>
    <w:rsid w:val="007D34B8"/>
    <w:rsid w:val="007D4019"/>
    <w:rsid w:val="007D5732"/>
    <w:rsid w:val="007E3BBE"/>
    <w:rsid w:val="0080462A"/>
    <w:rsid w:val="00851A4A"/>
    <w:rsid w:val="0087456B"/>
    <w:rsid w:val="00887101"/>
    <w:rsid w:val="008A098D"/>
    <w:rsid w:val="008A6A34"/>
    <w:rsid w:val="008B19AE"/>
    <w:rsid w:val="008C13CF"/>
    <w:rsid w:val="008C6264"/>
    <w:rsid w:val="008F43B1"/>
    <w:rsid w:val="008F50E6"/>
    <w:rsid w:val="00930738"/>
    <w:rsid w:val="00950312"/>
    <w:rsid w:val="00966CB9"/>
    <w:rsid w:val="00974853"/>
    <w:rsid w:val="00985099"/>
    <w:rsid w:val="00991D89"/>
    <w:rsid w:val="009A3AAD"/>
    <w:rsid w:val="009C37BA"/>
    <w:rsid w:val="009E2367"/>
    <w:rsid w:val="009E485A"/>
    <w:rsid w:val="009F00AC"/>
    <w:rsid w:val="009F0855"/>
    <w:rsid w:val="009F18FC"/>
    <w:rsid w:val="00A415E0"/>
    <w:rsid w:val="00A43854"/>
    <w:rsid w:val="00A52B9B"/>
    <w:rsid w:val="00A64DB0"/>
    <w:rsid w:val="00A73FA9"/>
    <w:rsid w:val="00AA2188"/>
    <w:rsid w:val="00AA6D5D"/>
    <w:rsid w:val="00AC5E74"/>
    <w:rsid w:val="00AC6B27"/>
    <w:rsid w:val="00AC7F01"/>
    <w:rsid w:val="00B013B2"/>
    <w:rsid w:val="00B03AED"/>
    <w:rsid w:val="00B10C82"/>
    <w:rsid w:val="00B2161C"/>
    <w:rsid w:val="00B331EA"/>
    <w:rsid w:val="00B41829"/>
    <w:rsid w:val="00B42D2F"/>
    <w:rsid w:val="00B439CC"/>
    <w:rsid w:val="00B44F0E"/>
    <w:rsid w:val="00B471E4"/>
    <w:rsid w:val="00B75C13"/>
    <w:rsid w:val="00B914FF"/>
    <w:rsid w:val="00BA05C2"/>
    <w:rsid w:val="00BA32A7"/>
    <w:rsid w:val="00BC2505"/>
    <w:rsid w:val="00BC4EBC"/>
    <w:rsid w:val="00BF72A1"/>
    <w:rsid w:val="00C028D0"/>
    <w:rsid w:val="00C06ADF"/>
    <w:rsid w:val="00C112C1"/>
    <w:rsid w:val="00C154C2"/>
    <w:rsid w:val="00C16074"/>
    <w:rsid w:val="00C17378"/>
    <w:rsid w:val="00C425AD"/>
    <w:rsid w:val="00C469E8"/>
    <w:rsid w:val="00C66CBE"/>
    <w:rsid w:val="00C7413E"/>
    <w:rsid w:val="00C818AE"/>
    <w:rsid w:val="00C936C7"/>
    <w:rsid w:val="00C95893"/>
    <w:rsid w:val="00CA08C0"/>
    <w:rsid w:val="00CA64AD"/>
    <w:rsid w:val="00CB0932"/>
    <w:rsid w:val="00CC7BE6"/>
    <w:rsid w:val="00CE7F9E"/>
    <w:rsid w:val="00CF584D"/>
    <w:rsid w:val="00D46EC5"/>
    <w:rsid w:val="00D613AF"/>
    <w:rsid w:val="00D65C91"/>
    <w:rsid w:val="00D700E7"/>
    <w:rsid w:val="00D7250B"/>
    <w:rsid w:val="00D75208"/>
    <w:rsid w:val="00D75DCA"/>
    <w:rsid w:val="00D8778C"/>
    <w:rsid w:val="00D93823"/>
    <w:rsid w:val="00D952BC"/>
    <w:rsid w:val="00DA2DE2"/>
    <w:rsid w:val="00DB6D1B"/>
    <w:rsid w:val="00DC698B"/>
    <w:rsid w:val="00DE1AFC"/>
    <w:rsid w:val="00DE7138"/>
    <w:rsid w:val="00DF3ADE"/>
    <w:rsid w:val="00DF4969"/>
    <w:rsid w:val="00E00778"/>
    <w:rsid w:val="00E42F3D"/>
    <w:rsid w:val="00E63106"/>
    <w:rsid w:val="00E63B7A"/>
    <w:rsid w:val="00E66CDD"/>
    <w:rsid w:val="00E679F2"/>
    <w:rsid w:val="00E93504"/>
    <w:rsid w:val="00EA7EB7"/>
    <w:rsid w:val="00EE13E8"/>
    <w:rsid w:val="00EE2347"/>
    <w:rsid w:val="00EF69A7"/>
    <w:rsid w:val="00F111B0"/>
    <w:rsid w:val="00F11872"/>
    <w:rsid w:val="00F26AA0"/>
    <w:rsid w:val="00F33D9E"/>
    <w:rsid w:val="00F37985"/>
    <w:rsid w:val="00F45733"/>
    <w:rsid w:val="00F51459"/>
    <w:rsid w:val="00F52711"/>
    <w:rsid w:val="00F53DCA"/>
    <w:rsid w:val="00F710E7"/>
    <w:rsid w:val="00F8497A"/>
    <w:rsid w:val="00F86B44"/>
    <w:rsid w:val="00FA1CA2"/>
    <w:rsid w:val="00FA340C"/>
    <w:rsid w:val="00FA3796"/>
    <w:rsid w:val="00FC2336"/>
    <w:rsid w:val="00FC2562"/>
    <w:rsid w:val="00FC3C12"/>
    <w:rsid w:val="00FD539A"/>
    <w:rsid w:val="00FD6077"/>
    <w:rsid w:val="00F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41253"/>
  <w15:chartTrackingRefBased/>
  <w15:docId w15:val="{A34CFA6D-BA13-6A46-89FF-6D4A9A0B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6E3"/>
    <w:rPr>
      <w:rFonts w:ascii="Calibri" w:eastAsia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3466E3"/>
    <w:pPr>
      <w:numPr>
        <w:numId w:val="1"/>
      </w:numPr>
      <w:spacing w:before="600" w:after="60" w:line="288" w:lineRule="auto"/>
      <w:outlineLvl w:val="0"/>
    </w:pPr>
    <w:rPr>
      <w:rFonts w:asciiTheme="majorHAnsi" w:hAnsiTheme="majorHAnsi"/>
      <w:caps/>
      <w:color w:val="ED7D31" w:themeColor="accent2"/>
      <w:spacing w:val="14"/>
      <w:sz w:val="26"/>
      <w:szCs w:val="26"/>
      <w:lang w:eastAsia="ja-JP"/>
    </w:rPr>
  </w:style>
  <w:style w:type="paragraph" w:styleId="Heading2">
    <w:name w:val="heading 2"/>
    <w:basedOn w:val="Normal"/>
    <w:link w:val="Heading2Char"/>
    <w:uiPriority w:val="9"/>
    <w:unhideWhenUsed/>
    <w:qFormat/>
    <w:rsid w:val="003466E3"/>
    <w:pPr>
      <w:numPr>
        <w:ilvl w:val="1"/>
        <w:numId w:val="1"/>
      </w:numPr>
      <w:spacing w:before="40" w:after="120" w:line="288" w:lineRule="auto"/>
      <w:outlineLvl w:val="1"/>
    </w:pPr>
    <w:rPr>
      <w:rFonts w:asciiTheme="majorHAnsi" w:eastAsiaTheme="majorEastAsia" w:hAnsiTheme="majorHAnsi" w:cstheme="majorBidi"/>
      <w:color w:val="ED7D31" w:themeColor="accent2"/>
      <w:sz w:val="22"/>
      <w:szCs w:val="26"/>
      <w:lang w:eastAsia="ja-JP"/>
    </w:rPr>
  </w:style>
  <w:style w:type="paragraph" w:styleId="Heading3">
    <w:name w:val="heading 3"/>
    <w:basedOn w:val="Normal"/>
    <w:link w:val="Heading3Char"/>
    <w:uiPriority w:val="9"/>
    <w:unhideWhenUsed/>
    <w:qFormat/>
    <w:rsid w:val="003466E3"/>
    <w:pPr>
      <w:numPr>
        <w:ilvl w:val="2"/>
        <w:numId w:val="1"/>
      </w:numPr>
      <w:spacing w:before="40" w:line="288" w:lineRule="auto"/>
      <w:outlineLvl w:val="2"/>
    </w:pPr>
    <w:rPr>
      <w:rFonts w:asciiTheme="majorHAnsi" w:eastAsiaTheme="majorEastAsia" w:hAnsiTheme="majorHAnsi" w:cstheme="majorBidi"/>
      <w:color w:val="4472C4" w:themeColor="accent1"/>
      <w:sz w:val="22"/>
      <w:lang w:eastAsia="ja-JP"/>
    </w:rPr>
  </w:style>
  <w:style w:type="paragraph" w:styleId="Heading4">
    <w:name w:val="heading 4"/>
    <w:basedOn w:val="Normal"/>
    <w:link w:val="Heading4Char"/>
    <w:uiPriority w:val="9"/>
    <w:unhideWhenUsed/>
    <w:qFormat/>
    <w:rsid w:val="003466E3"/>
    <w:pPr>
      <w:numPr>
        <w:ilvl w:val="3"/>
        <w:numId w:val="1"/>
      </w:numPr>
      <w:spacing w:before="40" w:line="288" w:lineRule="auto"/>
      <w:ind w:left="1440"/>
      <w:outlineLvl w:val="3"/>
    </w:pPr>
    <w:rPr>
      <w:rFonts w:asciiTheme="majorHAnsi" w:eastAsiaTheme="majorEastAsia" w:hAnsiTheme="majorHAnsi" w:cstheme="majorBidi"/>
      <w:i/>
      <w:iCs/>
      <w:color w:val="4472C4" w:themeColor="accent1"/>
      <w:spacing w:val="6"/>
      <w:sz w:val="22"/>
      <w:szCs w:val="22"/>
      <w:lang w:eastAsia="ja-JP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3466E3"/>
    <w:pPr>
      <w:numPr>
        <w:ilvl w:val="4"/>
        <w:numId w:val="1"/>
      </w:numPr>
      <w:spacing w:before="40" w:line="288" w:lineRule="auto"/>
      <w:outlineLvl w:val="4"/>
    </w:pPr>
    <w:rPr>
      <w:rFonts w:asciiTheme="majorHAnsi" w:eastAsiaTheme="majorEastAsia" w:hAnsiTheme="majorHAnsi" w:cstheme="majorBidi"/>
      <w:i/>
      <w:color w:val="ED7D31" w:themeColor="accent2"/>
      <w:spacing w:val="6"/>
      <w:sz w:val="22"/>
      <w:szCs w:val="22"/>
      <w:lang w:eastAsia="ja-JP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3466E3"/>
    <w:pPr>
      <w:numPr>
        <w:ilvl w:val="5"/>
        <w:numId w:val="1"/>
      </w:numPr>
      <w:spacing w:before="40" w:line="288" w:lineRule="auto"/>
      <w:outlineLvl w:val="5"/>
    </w:pPr>
    <w:rPr>
      <w:rFonts w:asciiTheme="majorHAnsi" w:eastAsiaTheme="majorEastAsia" w:hAnsiTheme="majorHAnsi" w:cstheme="majorBidi"/>
      <w:color w:val="ED7D31" w:themeColor="accent2"/>
      <w:spacing w:val="12"/>
      <w:sz w:val="22"/>
      <w:szCs w:val="22"/>
      <w:lang w:eastAsia="ja-JP"/>
    </w:rPr>
  </w:style>
  <w:style w:type="paragraph" w:styleId="Heading7">
    <w:name w:val="heading 7"/>
    <w:basedOn w:val="Normal"/>
    <w:link w:val="Heading7Char"/>
    <w:uiPriority w:val="9"/>
    <w:unhideWhenUsed/>
    <w:qFormat/>
    <w:rsid w:val="003466E3"/>
    <w:pPr>
      <w:numPr>
        <w:ilvl w:val="6"/>
        <w:numId w:val="1"/>
      </w:numPr>
      <w:spacing w:before="40" w:line="288" w:lineRule="auto"/>
      <w:outlineLvl w:val="6"/>
    </w:pPr>
    <w:rPr>
      <w:rFonts w:asciiTheme="majorHAnsi" w:eastAsiaTheme="majorEastAsia" w:hAnsiTheme="majorHAnsi" w:cstheme="majorBidi"/>
      <w:iCs/>
      <w:color w:val="ED7D31" w:themeColor="accent2"/>
      <w:sz w:val="22"/>
      <w:szCs w:val="22"/>
      <w:lang w:eastAsia="ja-JP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3466E3"/>
    <w:pPr>
      <w:numPr>
        <w:ilvl w:val="7"/>
        <w:numId w:val="1"/>
      </w:numPr>
      <w:spacing w:before="40" w:line="288" w:lineRule="auto"/>
      <w:outlineLvl w:val="7"/>
    </w:pPr>
    <w:rPr>
      <w:rFonts w:asciiTheme="majorHAnsi" w:eastAsiaTheme="majorEastAsia" w:hAnsiTheme="majorHAnsi" w:cstheme="majorBidi"/>
      <w:i/>
      <w:color w:val="F19D64" w:themeColor="accent2" w:themeTint="BF"/>
      <w:sz w:val="22"/>
      <w:szCs w:val="21"/>
      <w:lang w:eastAsia="ja-JP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3466E3"/>
    <w:pPr>
      <w:numPr>
        <w:ilvl w:val="8"/>
        <w:numId w:val="1"/>
      </w:numPr>
      <w:spacing w:before="40" w:line="288" w:lineRule="auto"/>
      <w:outlineLvl w:val="8"/>
    </w:pPr>
    <w:rPr>
      <w:rFonts w:asciiTheme="majorHAnsi" w:eastAsiaTheme="majorEastAsia" w:hAnsiTheme="majorHAnsi" w:cstheme="majorBidi"/>
      <w:iCs/>
      <w:color w:val="F19D64" w:themeColor="accent2" w:themeTint="BF"/>
      <w:sz w:val="22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6E3"/>
    <w:rPr>
      <w:rFonts w:asciiTheme="majorHAnsi" w:eastAsia="Calibri" w:hAnsiTheme="majorHAnsi" w:cs="Calibri"/>
      <w:caps/>
      <w:color w:val="ED7D31" w:themeColor="accent2"/>
      <w:spacing w:val="14"/>
      <w:sz w:val="26"/>
      <w:szCs w:val="26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466E3"/>
    <w:rPr>
      <w:rFonts w:asciiTheme="majorHAnsi" w:eastAsiaTheme="majorEastAsia" w:hAnsiTheme="majorHAnsi" w:cstheme="majorBidi"/>
      <w:color w:val="ED7D31" w:themeColor="accent2"/>
      <w:sz w:val="22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466E3"/>
    <w:rPr>
      <w:rFonts w:asciiTheme="majorHAnsi" w:eastAsiaTheme="majorEastAsia" w:hAnsiTheme="majorHAnsi" w:cstheme="majorBidi"/>
      <w:color w:val="4472C4" w:themeColor="accent1"/>
      <w:sz w:val="22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66E3"/>
    <w:rPr>
      <w:rFonts w:asciiTheme="majorHAnsi" w:eastAsiaTheme="majorEastAsia" w:hAnsiTheme="majorHAnsi" w:cstheme="majorBidi"/>
      <w:i/>
      <w:iCs/>
      <w:color w:val="4472C4" w:themeColor="accent1"/>
      <w:spacing w:val="6"/>
      <w:sz w:val="22"/>
      <w:szCs w:val="22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6E3"/>
    <w:rPr>
      <w:rFonts w:asciiTheme="majorHAnsi" w:eastAsiaTheme="majorEastAsia" w:hAnsiTheme="majorHAnsi" w:cstheme="majorBidi"/>
      <w:i/>
      <w:color w:val="ED7D31" w:themeColor="accent2"/>
      <w:spacing w:val="6"/>
      <w:sz w:val="22"/>
      <w:szCs w:val="22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6E3"/>
    <w:rPr>
      <w:rFonts w:asciiTheme="majorHAnsi" w:eastAsiaTheme="majorEastAsia" w:hAnsiTheme="majorHAnsi" w:cstheme="majorBidi"/>
      <w:color w:val="ED7D31" w:themeColor="accent2"/>
      <w:spacing w:val="12"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rsid w:val="003466E3"/>
    <w:rPr>
      <w:rFonts w:asciiTheme="majorHAnsi" w:eastAsiaTheme="majorEastAsia" w:hAnsiTheme="majorHAnsi" w:cstheme="majorBidi"/>
      <w:iCs/>
      <w:color w:val="ED7D31" w:themeColor="accent2"/>
      <w:sz w:val="22"/>
      <w:szCs w:val="22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6E3"/>
    <w:rPr>
      <w:rFonts w:asciiTheme="majorHAnsi" w:eastAsiaTheme="majorEastAsia" w:hAnsiTheme="majorHAnsi" w:cstheme="majorBidi"/>
      <w:i/>
      <w:color w:val="F19D64" w:themeColor="accent2" w:themeTint="BF"/>
      <w:sz w:val="22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6E3"/>
    <w:rPr>
      <w:rFonts w:asciiTheme="majorHAnsi" w:eastAsiaTheme="majorEastAsia" w:hAnsiTheme="majorHAnsi" w:cstheme="majorBidi"/>
      <w:iCs/>
      <w:color w:val="F19D64" w:themeColor="accent2" w:themeTint="BF"/>
      <w:sz w:val="22"/>
      <w:szCs w:val="21"/>
      <w:lang w:eastAsia="ja-JP"/>
    </w:rPr>
  </w:style>
  <w:style w:type="paragraph" w:customStyle="1" w:styleId="EndNoteBibliographyTitle">
    <w:name w:val="EndNote Bibliography Title"/>
    <w:basedOn w:val="Normal"/>
    <w:link w:val="EndNoteBibliographyTitleChar"/>
    <w:rsid w:val="00BC4EBC"/>
    <w:pPr>
      <w:jc w:val="center"/>
    </w:pPr>
  </w:style>
  <w:style w:type="character" w:customStyle="1" w:styleId="EndNoteBibliographyTitleChar">
    <w:name w:val="EndNote Bibliography Title Char"/>
    <w:basedOn w:val="DefaultParagraphFont"/>
    <w:link w:val="EndNoteBibliographyTitle"/>
    <w:rsid w:val="00BC4EBC"/>
    <w:rPr>
      <w:rFonts w:ascii="Calibri" w:eastAsia="Calibri" w:hAnsi="Calibri" w:cs="Calibri"/>
    </w:rPr>
  </w:style>
  <w:style w:type="paragraph" w:customStyle="1" w:styleId="EndNoteBibliography">
    <w:name w:val="EndNote Bibliography"/>
    <w:basedOn w:val="Normal"/>
    <w:link w:val="EndNoteBibliographyChar"/>
    <w:rsid w:val="00BC4EBC"/>
  </w:style>
  <w:style w:type="character" w:customStyle="1" w:styleId="EndNoteBibliographyChar">
    <w:name w:val="EndNote Bibliography Char"/>
    <w:basedOn w:val="DefaultParagraphFont"/>
    <w:link w:val="EndNoteBibliography"/>
    <w:rsid w:val="00BC4EBC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BC4EB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4EB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64AD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1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1E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AN.R-project.org/package=dplyr" TargetMode="External"/><Relationship Id="rId13" Type="http://schemas.openxmlformats.org/officeDocument/2006/relationships/hyperlink" Target="https://doi.org/https://doi.org/10.1002/bimj.19750170808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01/jama.296.12.1479" TargetMode="External"/><Relationship Id="rId12" Type="http://schemas.openxmlformats.org/officeDocument/2006/relationships/hyperlink" Target="https://CRAN.R-project.org/package=surviv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80/01621459.1972.10481279" TargetMode="External"/><Relationship Id="rId11" Type="http://schemas.openxmlformats.org/officeDocument/2006/relationships/hyperlink" Target="https://CRAN.R-project.org/package=coxm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tata.com/manuals/ststreg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-project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5A9BFA-3B38-44E1-84EB-FCA2FC50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 Pandey</dc:creator>
  <cp:keywords/>
  <dc:description/>
  <cp:lastModifiedBy>ce</cp:lastModifiedBy>
  <cp:revision>2</cp:revision>
  <dcterms:created xsi:type="dcterms:W3CDTF">2024-09-23T14:21:00Z</dcterms:created>
  <dcterms:modified xsi:type="dcterms:W3CDTF">2024-09-23T14:21:00Z</dcterms:modified>
</cp:coreProperties>
</file>