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73EC190" w:rsidP="373EC190" w:rsidRDefault="373EC190" w14:paraId="4FF4F20B" w14:textId="7B99EEDD">
      <w:pPr>
        <w:pStyle w:val="Normal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373EC190" w:rsidR="373EC19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Detailed methods for genetic sequencing:</w:t>
      </w:r>
    </w:p>
    <w:p w:rsidR="373EC190" w:rsidP="373EC190" w:rsidRDefault="373EC190" w14:paraId="41617BDA" w14:textId="450BADB7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Three gene panels were used to screen for genetic variants in a total of 70 genes implicated in neurodegeneration. The 1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st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panel is the “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nvitae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Hereditary Parkinson Disease and Parkinsonism Panel with Add on Preliminary-evidence Genes”, test code 03352 (https://www.invitae.com/en/providers/test-catalog/test-03352). Genes included in this panel were the following: ATP13A2, ATP7B, CHCHD2, CSF1R, DCTN1, DNAJC6, FBXO7, GBA, GCH1, LRRK2, PARK7, PDE8B, PINK1, PLA2G6, PRKN, PRKRA, RAB39B, SLC6A3, SNCA, SPR, SYNJ1, TH, TMEM230, VPS13C, VPS35, XPR1, and the add-on preliminary-evidence genes: MAPT, PODXL, and UCHL1. </w:t>
      </w:r>
    </w:p>
    <w:p w:rsidR="373EC190" w:rsidP="373EC190" w:rsidRDefault="373EC190" w14:paraId="288BDACE" w14:textId="4EF7199E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2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nd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panel is the “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nvitae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Hereditary Amyotrophic Lateral Sclerosis, Frontotemporal Dementia and Alzheimer Disease Panel with Add-on Preliminary-evidence Genes”, test code 03502 (https://www.invitae.com/en/providers/test-catalog/test-03502). Genes included in this panel were the following: ALS2, ANG, ANXA11, APP, CHCHD10, CHMP2B, DCTN1, ERBB4, FUS, GRN, HEXA, HNRNPA2B1, ITM2B, KIF5A, MAPT, OPTN, PFN1, PRNP, PSEN1, PSEN2, SETX, SNCA, SOD1, SORL1, SPG11, SQSTM1, TARDBP, TBK1, TFG, TREM2, UBQLN2, VAPB, VCP, and the add-on preliminary-evidence genes: ATP13A2, DDHD1, ERLIN1, FIG4, LRRK2, MATR3, NEFH, SIGMAR1, and TIA1. In summary, the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nvitae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sequence analysis in these two panels covers clinically important regions of each gene as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etermined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by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nvitae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including coding exons and 10 to 20 base pairs of adjacent intronic sequence on either side of the coding exons. In addition, the analysis covers select non-coding variants, and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nvitae’s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deletion/duplication analysis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etermines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copy number at a single exon resolution at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irtually all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targeted exons. </w:t>
      </w:r>
    </w:p>
    <w:p w:rsidR="373EC190" w:rsidP="373EC190" w:rsidRDefault="373EC190" w14:paraId="5BC6DDB6" w14:textId="297C880B">
      <w:pPr>
        <w:pStyle w:val="Normal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3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US"/>
        </w:rPr>
        <w:t>rd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panel is the “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reventionGenetics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panel for exome sequencing and CNV detection: Idiopathic Basal Ganglia Calcification Panel”, test code 10171 (https://www.preventiongenetics.com/testInfo?val=Idiopathic-Basal-Ganglia-Calcification-Panel). Genes included in this panel were the following: SLC20A2, PDGFB, PDGFRB and XPR1. In summary and according to the manufacturers report, sequence analysis is performed using Next-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en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sequencing (NGS) with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dditional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Sanger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equencing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as necessary. This panel provides 100% coverage of all coding exons of the genes plus 10 bases of flanking noncoding DNA in all available transcripts along with other non-coding regions in which pathogenic variants have been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dentified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at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reventionGenetics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or reported elsewhere. Copy number variants (CNVs) are also detected from NGS data and all CNVs are confirmed using another technology such as microarray-based comparative genomic hybridization (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CGH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)</w:t>
      </w:r>
      <w:r w:rsidRPr="373EC190" w:rsidR="373EC1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Multiplex Ligation-depending Probe Amplification (MLPA), or polymerase chain reaction (PCR) before they are reported.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AA6A11"/>
    <w:rsid w:val="01AA6A11"/>
    <w:rsid w:val="373EC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A6A11"/>
  <w15:chartTrackingRefBased/>
  <w15:docId w15:val="{51C5B7DD-3CAA-4E0F-BE3D-903B96A897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2023-08-29T13:57:48.3523878Z</dcterms:created>
  <dcterms:modified xsi:type="dcterms:W3CDTF">2023-08-29T16:14:08.5104113Z</dcterms:modified>
  <dc:creator>jamal al ali</dc:creator>
  <lastModifiedBy>jamal al ali</lastModifiedBy>
</coreProperties>
</file>