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B42" w:rsidRDefault="00773B42" w:rsidP="00773B42">
      <w:pPr>
        <w:rPr>
          <w:b/>
          <w:sz w:val="24"/>
        </w:rPr>
      </w:pPr>
      <w:r>
        <w:rPr>
          <w:rFonts w:hint="eastAsia"/>
          <w:b/>
          <w:sz w:val="24"/>
        </w:rPr>
        <w:t>Methods</w:t>
      </w:r>
    </w:p>
    <w:p w:rsidR="00773B42" w:rsidRPr="00741C97" w:rsidRDefault="00773B42" w:rsidP="00773B42">
      <w:pPr>
        <w:rPr>
          <w:b/>
          <w:sz w:val="24"/>
        </w:rPr>
      </w:pPr>
    </w:p>
    <w:p w:rsidR="00773B42" w:rsidRPr="00741C97" w:rsidRDefault="00773B42" w:rsidP="00773B42">
      <w:pPr>
        <w:rPr>
          <w:b/>
          <w:sz w:val="20"/>
          <w:szCs w:val="20"/>
        </w:rPr>
      </w:pPr>
      <w:proofErr w:type="gramStart"/>
      <w:r>
        <w:rPr>
          <w:rFonts w:hint="eastAsia"/>
          <w:b/>
          <w:sz w:val="20"/>
          <w:szCs w:val="20"/>
        </w:rPr>
        <w:t>q</w:t>
      </w:r>
      <w:r w:rsidRPr="00741C97">
        <w:rPr>
          <w:b/>
          <w:sz w:val="20"/>
          <w:szCs w:val="20"/>
        </w:rPr>
        <w:t>LAMP</w:t>
      </w:r>
      <w:proofErr w:type="gramEnd"/>
      <w:r w:rsidRPr="00741C97">
        <w:rPr>
          <w:b/>
          <w:sz w:val="20"/>
          <w:szCs w:val="20"/>
        </w:rPr>
        <w:t xml:space="preserve"> </w:t>
      </w:r>
    </w:p>
    <w:p w:rsidR="00773B42" w:rsidRDefault="00773B42" w:rsidP="00773B42">
      <w:pPr>
        <w:spacing w:line="480" w:lineRule="auto"/>
        <w:ind w:firstLine="420"/>
        <w:jc w:val="left"/>
        <w:rPr>
          <w:sz w:val="20"/>
          <w:szCs w:val="20"/>
        </w:rPr>
      </w:pPr>
      <w:r w:rsidRPr="00FE0A99">
        <w:rPr>
          <w:sz w:val="20"/>
          <w:szCs w:val="20"/>
        </w:rPr>
        <w:t xml:space="preserve">The template for LAMP was prepared by a three-step protocol: (1) </w:t>
      </w:r>
      <w:r>
        <w:rPr>
          <w:sz w:val="20"/>
          <w:szCs w:val="20"/>
        </w:rPr>
        <w:t>Liquefaction</w:t>
      </w:r>
      <w:r w:rsidRPr="00FE0A99">
        <w:rPr>
          <w:sz w:val="20"/>
          <w:szCs w:val="20"/>
        </w:rPr>
        <w:t xml:space="preserve">. </w:t>
      </w:r>
      <w:proofErr w:type="gramStart"/>
      <w:r w:rsidRPr="00FE0A99">
        <w:rPr>
          <w:sz w:val="20"/>
          <w:szCs w:val="20"/>
        </w:rPr>
        <w:t>500 µL sputum from each sample</w:t>
      </w:r>
      <w:proofErr w:type="gramEnd"/>
      <w:r w:rsidRPr="00FE0A99">
        <w:rPr>
          <w:sz w:val="20"/>
          <w:szCs w:val="20"/>
        </w:rPr>
        <w:t xml:space="preserve"> was mixed with 500 µL </w:t>
      </w:r>
      <w:proofErr w:type="spellStart"/>
      <w:r w:rsidRPr="00FE0A99">
        <w:rPr>
          <w:sz w:val="20"/>
          <w:szCs w:val="20"/>
        </w:rPr>
        <w:t>NaOH</w:t>
      </w:r>
      <w:proofErr w:type="spellEnd"/>
      <w:r w:rsidRPr="00FE0A99">
        <w:rPr>
          <w:sz w:val="20"/>
          <w:szCs w:val="20"/>
        </w:rPr>
        <w:t xml:space="preserve"> (10%). The mixture was incubated at room temperature for 30 min and then centrifuged at 10000×g for 5 min. (2) Washing. The pellets were </w:t>
      </w:r>
      <w:proofErr w:type="spellStart"/>
      <w:r w:rsidRPr="00FE0A99">
        <w:rPr>
          <w:sz w:val="20"/>
          <w:szCs w:val="20"/>
        </w:rPr>
        <w:t>resuspended</w:t>
      </w:r>
      <w:proofErr w:type="spellEnd"/>
      <w:r w:rsidRPr="00FE0A99">
        <w:rPr>
          <w:sz w:val="20"/>
          <w:szCs w:val="20"/>
        </w:rPr>
        <w:t xml:space="preserve"> in 1 </w:t>
      </w:r>
      <w:proofErr w:type="spellStart"/>
      <w:r w:rsidRPr="00FE0A99">
        <w:rPr>
          <w:sz w:val="20"/>
          <w:szCs w:val="20"/>
        </w:rPr>
        <w:t>mL</w:t>
      </w:r>
      <w:proofErr w:type="spellEnd"/>
      <w:r w:rsidRPr="00FE0A99">
        <w:rPr>
          <w:sz w:val="20"/>
          <w:szCs w:val="20"/>
        </w:rPr>
        <w:t xml:space="preserve"> saline solution and centrifuged at 10000×g for 5 min. (3) Cell </w:t>
      </w:r>
      <w:proofErr w:type="spellStart"/>
      <w:r w:rsidRPr="00FE0A99">
        <w:rPr>
          <w:sz w:val="20"/>
          <w:szCs w:val="20"/>
        </w:rPr>
        <w:t>lysis</w:t>
      </w:r>
      <w:proofErr w:type="spellEnd"/>
      <w:r w:rsidRPr="00FE0A99">
        <w:rPr>
          <w:sz w:val="20"/>
          <w:szCs w:val="20"/>
        </w:rPr>
        <w:t xml:space="preserve"> (using the Universal Kit for Bacterial DNA Extraction, </w:t>
      </w:r>
      <w:proofErr w:type="spellStart"/>
      <w:r w:rsidRPr="00FE0A99">
        <w:rPr>
          <w:sz w:val="20"/>
          <w:szCs w:val="20"/>
        </w:rPr>
        <w:t>Capitalbio</w:t>
      </w:r>
      <w:proofErr w:type="spellEnd"/>
      <w:r w:rsidRPr="00FE0A99">
        <w:rPr>
          <w:sz w:val="20"/>
          <w:szCs w:val="20"/>
        </w:rPr>
        <w:t xml:space="preserve"> Corporation, P. R. China). The pellets were </w:t>
      </w:r>
      <w:proofErr w:type="spellStart"/>
      <w:r w:rsidRPr="00FE0A99">
        <w:rPr>
          <w:sz w:val="20"/>
          <w:szCs w:val="20"/>
        </w:rPr>
        <w:t>resuspended</w:t>
      </w:r>
      <w:proofErr w:type="spellEnd"/>
      <w:r w:rsidRPr="00FE0A99">
        <w:rPr>
          <w:sz w:val="20"/>
          <w:szCs w:val="20"/>
        </w:rPr>
        <w:t xml:space="preserve"> in 100 µL 1×TE buffer (10 </w:t>
      </w:r>
      <w:proofErr w:type="spellStart"/>
      <w:r w:rsidRPr="00FE0A99">
        <w:rPr>
          <w:sz w:val="20"/>
          <w:szCs w:val="20"/>
        </w:rPr>
        <w:t>mM</w:t>
      </w:r>
      <w:proofErr w:type="spellEnd"/>
      <w:r w:rsidRPr="00FE0A99">
        <w:rPr>
          <w:sz w:val="20"/>
          <w:szCs w:val="20"/>
        </w:rPr>
        <w:t xml:space="preserve"> </w:t>
      </w:r>
      <w:proofErr w:type="spellStart"/>
      <w:r w:rsidRPr="00FE0A99">
        <w:rPr>
          <w:sz w:val="20"/>
          <w:szCs w:val="20"/>
        </w:rPr>
        <w:t>Tris-HCl</w:t>
      </w:r>
      <w:proofErr w:type="spellEnd"/>
      <w:r w:rsidRPr="00FE0A99">
        <w:rPr>
          <w:sz w:val="20"/>
          <w:szCs w:val="20"/>
        </w:rPr>
        <w:t xml:space="preserve">, 1 </w:t>
      </w:r>
      <w:proofErr w:type="spellStart"/>
      <w:r w:rsidRPr="00FE0A99">
        <w:rPr>
          <w:sz w:val="20"/>
          <w:szCs w:val="20"/>
        </w:rPr>
        <w:t>mM</w:t>
      </w:r>
      <w:proofErr w:type="spellEnd"/>
      <w:r w:rsidRPr="00FE0A99">
        <w:rPr>
          <w:sz w:val="20"/>
          <w:szCs w:val="20"/>
        </w:rPr>
        <w:t xml:space="preserve"> EDTA, pH 8.0) and </w:t>
      </w:r>
      <w:proofErr w:type="spellStart"/>
      <w:r w:rsidRPr="00FE0A99">
        <w:rPr>
          <w:sz w:val="20"/>
          <w:szCs w:val="20"/>
        </w:rPr>
        <w:t>transfered</w:t>
      </w:r>
      <w:proofErr w:type="spellEnd"/>
      <w:r w:rsidRPr="00FE0A99">
        <w:rPr>
          <w:sz w:val="20"/>
          <w:szCs w:val="20"/>
        </w:rPr>
        <w:t xml:space="preserve"> to a new tube containing 50 mg glass bead mixture(150-212, 710-1180, Sigma-Aldrich Co., MO, USA). Each sample was </w:t>
      </w:r>
      <w:proofErr w:type="spellStart"/>
      <w:r w:rsidRPr="00FE0A99">
        <w:rPr>
          <w:sz w:val="20"/>
          <w:szCs w:val="20"/>
        </w:rPr>
        <w:t>vortexed</w:t>
      </w:r>
      <w:proofErr w:type="spellEnd"/>
      <w:r w:rsidRPr="00FE0A99">
        <w:rPr>
          <w:sz w:val="20"/>
          <w:szCs w:val="20"/>
        </w:rPr>
        <w:t xml:space="preserve"> for 10 min, incubated at 95°C for 10 min and centrifuged at 2000×g for 1 min. The supernatant was transferred to a sterile tube and stored at -20°C until LAMP testing.</w:t>
      </w:r>
    </w:p>
    <w:p w:rsidR="00773B42" w:rsidRPr="00741C97" w:rsidRDefault="00773B42" w:rsidP="00773B42">
      <w:pPr>
        <w:spacing w:line="480" w:lineRule="auto"/>
        <w:ind w:firstLine="420"/>
        <w:jc w:val="left"/>
        <w:rPr>
          <w:sz w:val="20"/>
          <w:szCs w:val="20"/>
        </w:rPr>
      </w:pPr>
    </w:p>
    <w:p w:rsidR="00773B42" w:rsidRPr="00741C97" w:rsidRDefault="00773B42" w:rsidP="00773B42">
      <w:pPr>
        <w:spacing w:line="480" w:lineRule="auto"/>
        <w:ind w:firstLine="420"/>
        <w:jc w:val="left"/>
        <w:rPr>
          <w:sz w:val="20"/>
          <w:szCs w:val="20"/>
        </w:rPr>
      </w:pPr>
      <w:r w:rsidRPr="00741C97">
        <w:rPr>
          <w:sz w:val="20"/>
          <w:szCs w:val="20"/>
        </w:rPr>
        <w:t xml:space="preserve">The LAMP primers were designed based on the strategy previously described by </w:t>
      </w:r>
      <w:proofErr w:type="spellStart"/>
      <w:r w:rsidRPr="00741C97">
        <w:rPr>
          <w:sz w:val="20"/>
          <w:szCs w:val="20"/>
        </w:rPr>
        <w:t>Notomi</w:t>
      </w:r>
      <w:proofErr w:type="spellEnd"/>
      <w:r w:rsidRPr="00741C97">
        <w:rPr>
          <w:sz w:val="20"/>
          <w:szCs w:val="20"/>
        </w:rPr>
        <w:t xml:space="preserve"> </w:t>
      </w:r>
      <w:r w:rsidRPr="00741C97">
        <w:rPr>
          <w:sz w:val="20"/>
          <w:szCs w:val="20"/>
          <w:vertAlign w:val="superscript"/>
        </w:rPr>
        <w:t>[1, 2]</w:t>
      </w:r>
      <w:r w:rsidRPr="00741C97">
        <w:rPr>
          <w:sz w:val="20"/>
          <w:szCs w:val="20"/>
        </w:rPr>
        <w:t xml:space="preserve"> and synthesized commercially.  That is a set of six primers, consisting of two outer (F3 and B3) and two inner (FIP and BIP) primers, and two loop (LF and LB) primers, capable of recognizing eight distinct regions on each target sequence was designed for each target species.  FIP consists of a complementary sequence of F1 (F</w:t>
      </w:r>
      <w:smartTag w:uri="urn:schemas-microsoft-com:office:smarttags" w:element="chmetcnv">
        <w:smartTagPr>
          <w:attr w:name="TCSC" w:val="0"/>
          <w:attr w:name="NumberType" w:val="1"/>
          <w:attr w:name="Negative" w:val="False"/>
          <w:attr w:name="HasSpace" w:val="False"/>
          <w:attr w:name="SourceValue" w:val="1"/>
          <w:attr w:name="UnitName" w:val="C"/>
        </w:smartTagPr>
        <w:r w:rsidRPr="00741C97">
          <w:rPr>
            <w:sz w:val="20"/>
            <w:szCs w:val="20"/>
          </w:rPr>
          <w:t>1c</w:t>
        </w:r>
      </w:smartTag>
      <w:r w:rsidRPr="00741C97">
        <w:rPr>
          <w:sz w:val="20"/>
          <w:szCs w:val="20"/>
        </w:rPr>
        <w:t>) and a sense sequence of F2.  Similarly, BIP consists of a complementary sequence of B1 (B</w:t>
      </w:r>
      <w:smartTag w:uri="urn:schemas-microsoft-com:office:smarttags" w:element="chmetcnv">
        <w:smartTagPr>
          <w:attr w:name="TCSC" w:val="0"/>
          <w:attr w:name="NumberType" w:val="1"/>
          <w:attr w:name="Negative" w:val="False"/>
          <w:attr w:name="HasSpace" w:val="False"/>
          <w:attr w:name="SourceValue" w:val="1"/>
          <w:attr w:name="UnitName" w:val="C"/>
        </w:smartTagPr>
        <w:r w:rsidRPr="00741C97">
          <w:rPr>
            <w:sz w:val="20"/>
            <w:szCs w:val="20"/>
          </w:rPr>
          <w:t>1c</w:t>
        </w:r>
      </w:smartTag>
      <w:r w:rsidRPr="00741C97">
        <w:rPr>
          <w:sz w:val="20"/>
          <w:szCs w:val="20"/>
        </w:rPr>
        <w:t xml:space="preserve">) and a sense sequence of B2, as shown in </w:t>
      </w:r>
      <w:proofErr w:type="spellStart"/>
      <w:r w:rsidRPr="00741C97">
        <w:rPr>
          <w:sz w:val="20"/>
          <w:szCs w:val="20"/>
        </w:rPr>
        <w:t>eFigure</w:t>
      </w:r>
      <w:proofErr w:type="spellEnd"/>
      <w:r w:rsidRPr="00741C97">
        <w:rPr>
          <w:sz w:val="20"/>
          <w:szCs w:val="20"/>
        </w:rPr>
        <w:t xml:space="preserve"> 3</w:t>
      </w:r>
    </w:p>
    <w:p w:rsidR="00773B42" w:rsidRPr="00741C97" w:rsidRDefault="00773B42" w:rsidP="00773B42">
      <w:pPr>
        <w:spacing w:line="480" w:lineRule="auto"/>
        <w:ind w:firstLine="420"/>
        <w:jc w:val="left"/>
        <w:rPr>
          <w:sz w:val="20"/>
          <w:szCs w:val="20"/>
        </w:rPr>
      </w:pPr>
    </w:p>
    <w:p w:rsidR="00773B42" w:rsidRPr="00741C97" w:rsidRDefault="00773B42" w:rsidP="00773B42">
      <w:pPr>
        <w:spacing w:line="480" w:lineRule="auto"/>
        <w:ind w:firstLine="420"/>
        <w:jc w:val="left"/>
        <w:rPr>
          <w:sz w:val="20"/>
          <w:szCs w:val="20"/>
        </w:rPr>
      </w:pPr>
      <w:r w:rsidRPr="00741C97">
        <w:rPr>
          <w:sz w:val="20"/>
          <w:szCs w:val="20"/>
        </w:rPr>
        <w:t>Quantitative LAMP assay was performed by real-time fluorescence as before</w:t>
      </w:r>
      <w:r w:rsidRPr="00730CD7">
        <w:rPr>
          <w:sz w:val="20"/>
          <w:szCs w:val="20"/>
          <w:vertAlign w:val="superscript"/>
        </w:rPr>
        <w:t>[3]</w:t>
      </w:r>
      <w:r>
        <w:rPr>
          <w:sz w:val="20"/>
          <w:szCs w:val="20"/>
        </w:rPr>
        <w:t>, and briefly in 25</w:t>
      </w:r>
      <w:r w:rsidRPr="00741C97">
        <w:rPr>
          <w:sz w:val="20"/>
          <w:szCs w:val="20"/>
        </w:rPr>
        <w:t>μl reaction mixture containing 1.6μM each of FIP and BIP, 0.2μM each of F3 and B3, 0.4</w:t>
      </w:r>
      <w:r>
        <w:rPr>
          <w:sz w:val="20"/>
          <w:szCs w:val="20"/>
        </w:rPr>
        <w:t>μM each of LF and LB, 8</w:t>
      </w:r>
      <w:r w:rsidRPr="00741C97">
        <w:rPr>
          <w:sz w:val="20"/>
          <w:szCs w:val="20"/>
        </w:rPr>
        <w:t xml:space="preserve">U of the </w:t>
      </w:r>
      <w:proofErr w:type="spellStart"/>
      <w:r w:rsidRPr="00741C97">
        <w:rPr>
          <w:sz w:val="20"/>
          <w:szCs w:val="20"/>
        </w:rPr>
        <w:t>Bst</w:t>
      </w:r>
      <w:proofErr w:type="spellEnd"/>
      <w:r w:rsidRPr="00741C97">
        <w:rPr>
          <w:sz w:val="20"/>
          <w:szCs w:val="20"/>
        </w:rPr>
        <w:t xml:space="preserve"> DNA polymerase large fragment (New England </w:t>
      </w:r>
      <w:proofErr w:type="spellStart"/>
      <w:r w:rsidRPr="00741C97">
        <w:rPr>
          <w:sz w:val="20"/>
          <w:szCs w:val="20"/>
        </w:rPr>
        <w:t>Biolabs</w:t>
      </w:r>
      <w:proofErr w:type="spellEnd"/>
      <w:r w:rsidRPr="00741C97">
        <w:rPr>
          <w:sz w:val="20"/>
          <w:szCs w:val="20"/>
        </w:rPr>
        <w:t xml:space="preserve"> </w:t>
      </w:r>
      <w:r>
        <w:rPr>
          <w:sz w:val="20"/>
          <w:szCs w:val="20"/>
        </w:rPr>
        <w:t xml:space="preserve">Inc., Beverly, Mass., USA), </w:t>
      </w:r>
      <w:smartTag w:uri="urn:schemas-microsoft-com:office:smarttags" w:element="chmetcnv">
        <w:smartTagPr>
          <w:attr w:name="UnitName" w:val="mm"/>
          <w:attr w:name="SourceValue" w:val=".4"/>
          <w:attr w:name="HasSpace" w:val="False"/>
          <w:attr w:name="Negative" w:val="False"/>
          <w:attr w:name="NumberType" w:val="1"/>
          <w:attr w:name="TCSC" w:val="0"/>
        </w:smartTagPr>
        <w:r>
          <w:rPr>
            <w:sz w:val="20"/>
            <w:szCs w:val="20"/>
          </w:rPr>
          <w:t>0.4</w:t>
        </w:r>
        <w:r w:rsidRPr="00741C97">
          <w:rPr>
            <w:sz w:val="20"/>
            <w:szCs w:val="20"/>
          </w:rPr>
          <w:t>mM</w:t>
        </w:r>
      </w:smartTag>
      <w:r>
        <w:rPr>
          <w:sz w:val="20"/>
          <w:szCs w:val="20"/>
        </w:rPr>
        <w:t xml:space="preserve"> </w:t>
      </w:r>
      <w:proofErr w:type="spellStart"/>
      <w:r>
        <w:rPr>
          <w:sz w:val="20"/>
          <w:szCs w:val="20"/>
        </w:rPr>
        <w:t>dNTP</w:t>
      </w:r>
      <w:proofErr w:type="spellEnd"/>
      <w:r>
        <w:rPr>
          <w:sz w:val="20"/>
          <w:szCs w:val="20"/>
        </w:rPr>
        <w:t xml:space="preserve">, </w:t>
      </w:r>
      <w:smartTag w:uri="urn:schemas-microsoft-com:office:smarttags" w:element="chmetcnv">
        <w:smartTagPr>
          <w:attr w:name="UnitName" w:val="mm"/>
          <w:attr w:name="SourceValue" w:val=".1"/>
          <w:attr w:name="HasSpace" w:val="False"/>
          <w:attr w:name="Negative" w:val="False"/>
          <w:attr w:name="NumberType" w:val="1"/>
          <w:attr w:name="TCSC" w:val="0"/>
        </w:smartTagPr>
        <w:r>
          <w:rPr>
            <w:sz w:val="20"/>
            <w:szCs w:val="20"/>
          </w:rPr>
          <w:t>0.1</w:t>
        </w:r>
        <w:r w:rsidRPr="00741C97">
          <w:rPr>
            <w:sz w:val="20"/>
            <w:szCs w:val="20"/>
          </w:rPr>
          <w:t>mM</w:t>
        </w:r>
      </w:smartTag>
      <w:r>
        <w:rPr>
          <w:sz w:val="20"/>
          <w:szCs w:val="20"/>
        </w:rPr>
        <w:t xml:space="preserve"> </w:t>
      </w:r>
      <w:proofErr w:type="spellStart"/>
      <w:r>
        <w:rPr>
          <w:sz w:val="20"/>
          <w:szCs w:val="20"/>
        </w:rPr>
        <w:t>dUTP</w:t>
      </w:r>
      <w:proofErr w:type="spellEnd"/>
      <w:r>
        <w:rPr>
          <w:sz w:val="20"/>
          <w:szCs w:val="20"/>
        </w:rPr>
        <w:t xml:space="preserve">, </w:t>
      </w:r>
      <w:smartTag w:uri="urn:schemas-microsoft-com:office:smarttags" w:element="chmetcnv">
        <w:smartTagPr>
          <w:attr w:name="UnitName" w:val="m"/>
          <w:attr w:name="SourceValue" w:val=".8"/>
          <w:attr w:name="HasSpace" w:val="False"/>
          <w:attr w:name="Negative" w:val="False"/>
          <w:attr w:name="NumberType" w:val="1"/>
          <w:attr w:name="TCSC" w:val="0"/>
        </w:smartTagPr>
        <w:r>
          <w:rPr>
            <w:sz w:val="20"/>
            <w:szCs w:val="20"/>
          </w:rPr>
          <w:t>0.8</w:t>
        </w:r>
        <w:r w:rsidRPr="00741C97">
          <w:rPr>
            <w:sz w:val="20"/>
            <w:szCs w:val="20"/>
          </w:rPr>
          <w:t>M</w:t>
        </w:r>
      </w:smartTag>
      <w:r>
        <w:rPr>
          <w:sz w:val="20"/>
          <w:szCs w:val="20"/>
        </w:rPr>
        <w:t xml:space="preserve"> </w:t>
      </w:r>
      <w:proofErr w:type="spellStart"/>
      <w:r>
        <w:rPr>
          <w:sz w:val="20"/>
          <w:szCs w:val="20"/>
        </w:rPr>
        <w:t>betaine</w:t>
      </w:r>
      <w:proofErr w:type="spellEnd"/>
      <w:r>
        <w:rPr>
          <w:sz w:val="20"/>
          <w:szCs w:val="20"/>
        </w:rPr>
        <w:t xml:space="preserve">, </w:t>
      </w:r>
      <w:smartTag w:uri="urn:schemas-microsoft-com:office:smarttags" w:element="chmetcnv">
        <w:smartTagPr>
          <w:attr w:name="UnitName" w:val="mm"/>
          <w:attr w:name="SourceValue" w:val="6"/>
          <w:attr w:name="HasSpace" w:val="False"/>
          <w:attr w:name="Negative" w:val="False"/>
          <w:attr w:name="NumberType" w:val="1"/>
          <w:attr w:name="TCSC" w:val="0"/>
        </w:smartTagPr>
        <w:r>
          <w:rPr>
            <w:sz w:val="20"/>
            <w:szCs w:val="20"/>
          </w:rPr>
          <w:t>6</w:t>
        </w:r>
        <w:r w:rsidRPr="00741C97">
          <w:rPr>
            <w:sz w:val="20"/>
            <w:szCs w:val="20"/>
          </w:rPr>
          <w:t>mM</w:t>
        </w:r>
      </w:smartTag>
      <w:r w:rsidRPr="00741C97">
        <w:rPr>
          <w:sz w:val="20"/>
          <w:szCs w:val="20"/>
        </w:rPr>
        <w:t xml:space="preserve"> MgSO</w:t>
      </w:r>
      <w:r w:rsidRPr="00730CD7">
        <w:rPr>
          <w:sz w:val="20"/>
          <w:szCs w:val="20"/>
          <w:vertAlign w:val="subscript"/>
        </w:rPr>
        <w:t>4</w:t>
      </w:r>
      <w:r>
        <w:rPr>
          <w:sz w:val="20"/>
          <w:szCs w:val="20"/>
        </w:rPr>
        <w:t>, 0.5</w:t>
      </w:r>
      <w:r w:rsidRPr="00741C97">
        <w:rPr>
          <w:sz w:val="20"/>
          <w:szCs w:val="20"/>
        </w:rPr>
        <w:t xml:space="preserve">mg/ml BSA, 0.6 × </w:t>
      </w:r>
      <w:proofErr w:type="spellStart"/>
      <w:r w:rsidRPr="00741C97">
        <w:rPr>
          <w:sz w:val="20"/>
          <w:szCs w:val="20"/>
        </w:rPr>
        <w:t>EvaGree</w:t>
      </w:r>
      <w:r>
        <w:rPr>
          <w:sz w:val="20"/>
          <w:szCs w:val="20"/>
        </w:rPr>
        <w:t>n</w:t>
      </w:r>
      <w:proofErr w:type="spellEnd"/>
      <w:r>
        <w:rPr>
          <w:sz w:val="20"/>
          <w:szCs w:val="20"/>
        </w:rPr>
        <w:t xml:space="preserve"> </w:t>
      </w:r>
      <w:r>
        <w:rPr>
          <w:sz w:val="20"/>
          <w:szCs w:val="20"/>
        </w:rPr>
        <w:lastRenderedPageBreak/>
        <w:t>(</w:t>
      </w:r>
      <w:proofErr w:type="spellStart"/>
      <w:r>
        <w:rPr>
          <w:sz w:val="20"/>
          <w:szCs w:val="20"/>
        </w:rPr>
        <w:t>Biotium</w:t>
      </w:r>
      <w:proofErr w:type="spellEnd"/>
      <w:r>
        <w:rPr>
          <w:sz w:val="20"/>
          <w:szCs w:val="20"/>
        </w:rPr>
        <w:t>, Inc., CA, USA), 0.1</w:t>
      </w:r>
      <w:r w:rsidRPr="00741C97">
        <w:rPr>
          <w:sz w:val="20"/>
          <w:szCs w:val="20"/>
        </w:rPr>
        <w:t xml:space="preserve">U/ml </w:t>
      </w:r>
      <w:proofErr w:type="spellStart"/>
      <w:r w:rsidRPr="00741C97">
        <w:rPr>
          <w:sz w:val="20"/>
          <w:szCs w:val="20"/>
        </w:rPr>
        <w:t>Uracil</w:t>
      </w:r>
      <w:proofErr w:type="spellEnd"/>
      <w:r w:rsidRPr="00741C97">
        <w:rPr>
          <w:sz w:val="20"/>
          <w:szCs w:val="20"/>
        </w:rPr>
        <w:t xml:space="preserve">-DNA </w:t>
      </w:r>
      <w:proofErr w:type="spellStart"/>
      <w:r w:rsidRPr="00741C97">
        <w:rPr>
          <w:sz w:val="20"/>
          <w:szCs w:val="20"/>
        </w:rPr>
        <w:t>Glycosylas</w:t>
      </w:r>
      <w:r>
        <w:rPr>
          <w:sz w:val="20"/>
          <w:szCs w:val="20"/>
        </w:rPr>
        <w:t>e</w:t>
      </w:r>
      <w:proofErr w:type="spellEnd"/>
      <w:r>
        <w:rPr>
          <w:sz w:val="20"/>
          <w:szCs w:val="20"/>
        </w:rPr>
        <w:t xml:space="preserve"> (</w:t>
      </w:r>
      <w:proofErr w:type="spellStart"/>
      <w:r>
        <w:rPr>
          <w:sz w:val="20"/>
          <w:szCs w:val="20"/>
        </w:rPr>
        <w:t>Fermentas</w:t>
      </w:r>
      <w:proofErr w:type="spellEnd"/>
      <w:r>
        <w:rPr>
          <w:sz w:val="20"/>
          <w:szCs w:val="20"/>
        </w:rPr>
        <w:t xml:space="preserve"> Inc., MD, USA), </w:t>
      </w:r>
      <w:smartTag w:uri="urn:schemas-microsoft-com:office:smarttags" w:element="chmetcnv">
        <w:smartTagPr>
          <w:attr w:name="UnitName" w:val="mm"/>
          <w:attr w:name="SourceValue" w:val="20"/>
          <w:attr w:name="HasSpace" w:val="False"/>
          <w:attr w:name="Negative" w:val="False"/>
          <w:attr w:name="NumberType" w:val="1"/>
          <w:attr w:name="TCSC" w:val="0"/>
        </w:smartTagPr>
        <w:r>
          <w:rPr>
            <w:sz w:val="20"/>
            <w:szCs w:val="20"/>
          </w:rPr>
          <w:t>20</w:t>
        </w:r>
        <w:r w:rsidRPr="00741C97">
          <w:rPr>
            <w:sz w:val="20"/>
            <w:szCs w:val="20"/>
          </w:rPr>
          <w:t>mM</w:t>
        </w:r>
      </w:smartTag>
      <w:r w:rsidRPr="00741C97">
        <w:rPr>
          <w:sz w:val="20"/>
          <w:szCs w:val="20"/>
        </w:rPr>
        <w:t xml:space="preserve"> </w:t>
      </w:r>
      <w:proofErr w:type="spellStart"/>
      <w:r w:rsidRPr="00741C97">
        <w:rPr>
          <w:sz w:val="20"/>
          <w:szCs w:val="20"/>
        </w:rPr>
        <w:t>Tris-HCl</w:t>
      </w:r>
      <w:proofErr w:type="spellEnd"/>
      <w:r w:rsidRPr="00741C97">
        <w:rPr>
          <w:sz w:val="20"/>
          <w:szCs w:val="20"/>
        </w:rPr>
        <w:t xml:space="preserve"> (pH 8.8 at </w:t>
      </w:r>
      <w:smartTag w:uri="urn:schemas-microsoft-com:office:smarttags" w:element="chmetcnv">
        <w:smartTagPr>
          <w:attr w:name="UnitName" w:val="C"/>
          <w:attr w:name="SourceValue" w:val="250"/>
          <w:attr w:name="HasSpace" w:val="False"/>
          <w:attr w:name="Negative" w:val="False"/>
          <w:attr w:name="NumberType" w:val="1"/>
          <w:attr w:name="TCSC" w:val="0"/>
        </w:smartTagPr>
        <w:r w:rsidRPr="00741C97">
          <w:rPr>
            <w:sz w:val="20"/>
            <w:szCs w:val="20"/>
          </w:rPr>
          <w:t>250C</w:t>
        </w:r>
      </w:smartTag>
      <w:r>
        <w:rPr>
          <w:sz w:val="20"/>
          <w:szCs w:val="20"/>
        </w:rPr>
        <w:t xml:space="preserve">), </w:t>
      </w:r>
      <w:smartTag w:uri="urn:schemas-microsoft-com:office:smarttags" w:element="chmetcnv">
        <w:smartTagPr>
          <w:attr w:name="UnitName" w:val="mm"/>
          <w:attr w:name="SourceValue" w:val="10"/>
          <w:attr w:name="HasSpace" w:val="False"/>
          <w:attr w:name="Negative" w:val="False"/>
          <w:attr w:name="NumberType" w:val="1"/>
          <w:attr w:name="TCSC" w:val="0"/>
        </w:smartTagPr>
        <w:r>
          <w:rPr>
            <w:sz w:val="20"/>
            <w:szCs w:val="20"/>
          </w:rPr>
          <w:t>10</w:t>
        </w:r>
        <w:r w:rsidRPr="00741C97">
          <w:rPr>
            <w:sz w:val="20"/>
            <w:szCs w:val="20"/>
          </w:rPr>
          <w:t>mM</w:t>
        </w:r>
      </w:smartTag>
      <w:r w:rsidRPr="00741C97">
        <w:rPr>
          <w:sz w:val="20"/>
          <w:szCs w:val="20"/>
        </w:rPr>
        <w:t xml:space="preserve"> KCI, </w:t>
      </w:r>
      <w:smartTag w:uri="urn:schemas-microsoft-com:office:smarttags" w:element="chmetcnv">
        <w:smartTagPr>
          <w:attr w:name="UnitName" w:val="mm"/>
          <w:attr w:name="SourceValue" w:val="10"/>
          <w:attr w:name="HasSpace" w:val="True"/>
          <w:attr w:name="Negative" w:val="False"/>
          <w:attr w:name="NumberType" w:val="1"/>
          <w:attr w:name="TCSC" w:val="0"/>
        </w:smartTagPr>
        <w:r w:rsidRPr="00741C97">
          <w:rPr>
            <w:sz w:val="20"/>
            <w:szCs w:val="20"/>
          </w:rPr>
          <w:t xml:space="preserve">10 </w:t>
        </w:r>
        <w:proofErr w:type="spellStart"/>
        <w:r w:rsidRPr="00741C97">
          <w:rPr>
            <w:sz w:val="20"/>
            <w:szCs w:val="20"/>
          </w:rPr>
          <w:t>mM</w:t>
        </w:r>
      </w:smartTag>
      <w:proofErr w:type="spellEnd"/>
      <w:r w:rsidRPr="00741C97">
        <w:rPr>
          <w:sz w:val="20"/>
          <w:szCs w:val="20"/>
        </w:rPr>
        <w:t xml:space="preserve"> (NH</w:t>
      </w:r>
      <w:r w:rsidRPr="00730CD7">
        <w:rPr>
          <w:sz w:val="20"/>
          <w:szCs w:val="20"/>
          <w:vertAlign w:val="subscript"/>
        </w:rPr>
        <w:t>4</w:t>
      </w:r>
      <w:r w:rsidRPr="00741C97">
        <w:rPr>
          <w:sz w:val="20"/>
          <w:szCs w:val="20"/>
        </w:rPr>
        <w:t>)</w:t>
      </w:r>
      <w:r w:rsidRPr="00730CD7">
        <w:rPr>
          <w:sz w:val="20"/>
          <w:szCs w:val="20"/>
          <w:vertAlign w:val="subscript"/>
        </w:rPr>
        <w:t xml:space="preserve"> </w:t>
      </w:r>
      <w:r>
        <w:rPr>
          <w:rFonts w:hint="eastAsia"/>
          <w:sz w:val="20"/>
          <w:szCs w:val="20"/>
          <w:vertAlign w:val="subscript"/>
        </w:rPr>
        <w:t>2</w:t>
      </w:r>
      <w:r w:rsidRPr="00741C97">
        <w:rPr>
          <w:sz w:val="20"/>
          <w:szCs w:val="20"/>
        </w:rPr>
        <w:t>S</w:t>
      </w:r>
      <w:r>
        <w:rPr>
          <w:rFonts w:hint="eastAsia"/>
          <w:sz w:val="20"/>
          <w:szCs w:val="20"/>
        </w:rPr>
        <w:t>O</w:t>
      </w:r>
      <w:r w:rsidRPr="00730CD7">
        <w:rPr>
          <w:sz w:val="20"/>
          <w:szCs w:val="20"/>
          <w:vertAlign w:val="subscript"/>
        </w:rPr>
        <w:t>4</w:t>
      </w:r>
      <w:r>
        <w:rPr>
          <w:sz w:val="20"/>
          <w:szCs w:val="20"/>
        </w:rPr>
        <w:t>, 0.1%</w:t>
      </w:r>
      <w:r w:rsidRPr="00741C97">
        <w:rPr>
          <w:sz w:val="20"/>
          <w:szCs w:val="20"/>
        </w:rPr>
        <w:t>Triton X-100, and 2μl template DNA or PCR grade H</w:t>
      </w:r>
      <w:r>
        <w:rPr>
          <w:rFonts w:hint="eastAsia"/>
          <w:sz w:val="20"/>
          <w:szCs w:val="20"/>
          <w:vertAlign w:val="subscript"/>
        </w:rPr>
        <w:t>2</w:t>
      </w:r>
      <w:r w:rsidRPr="00741C97">
        <w:rPr>
          <w:sz w:val="20"/>
          <w:szCs w:val="20"/>
        </w:rPr>
        <w:t>O as negative control.  All amplifications were performed with a RT-Cycler Real-time Fluorescence Quantitative PCR Instrument (</w:t>
      </w:r>
      <w:proofErr w:type="spellStart"/>
      <w:r w:rsidRPr="00741C97">
        <w:rPr>
          <w:sz w:val="20"/>
          <w:szCs w:val="20"/>
        </w:rPr>
        <w:t>CapitalBio</w:t>
      </w:r>
      <w:proofErr w:type="spellEnd"/>
      <w:r w:rsidRPr="00741C97">
        <w:rPr>
          <w:sz w:val="20"/>
          <w:szCs w:val="20"/>
        </w:rPr>
        <w:t xml:space="preserve"> Corporation, </w:t>
      </w:r>
      <w:smartTag w:uri="urn:schemas-microsoft-com:office:smarttags" w:element="place">
        <w:smartTag w:uri="urn:schemas-microsoft-com:office:smarttags" w:element="City">
          <w:r w:rsidRPr="00741C97">
            <w:rPr>
              <w:sz w:val="20"/>
              <w:szCs w:val="20"/>
            </w:rPr>
            <w:t>Beijing</w:t>
          </w:r>
        </w:smartTag>
        <w:r w:rsidRPr="00741C97">
          <w:rPr>
            <w:sz w:val="20"/>
            <w:szCs w:val="20"/>
          </w:rPr>
          <w:t xml:space="preserve">, </w:t>
        </w:r>
        <w:proofErr w:type="gramStart"/>
        <w:smartTag w:uri="urn:schemas-microsoft-com:office:smarttags" w:element="country-region">
          <w:r w:rsidRPr="00741C97">
            <w:rPr>
              <w:sz w:val="20"/>
              <w:szCs w:val="20"/>
            </w:rPr>
            <w:t>China</w:t>
          </w:r>
        </w:smartTag>
      </w:smartTag>
      <w:r w:rsidRPr="00741C97">
        <w:rPr>
          <w:sz w:val="20"/>
          <w:szCs w:val="20"/>
        </w:rPr>
        <w:t xml:space="preserve"> )</w:t>
      </w:r>
      <w:proofErr w:type="gramEnd"/>
      <w:r w:rsidRPr="00741C97">
        <w:rPr>
          <w:sz w:val="20"/>
          <w:szCs w:val="20"/>
        </w:rPr>
        <w:t xml:space="preserve"> as incubated at </w:t>
      </w:r>
      <w:smartTag w:uri="urn:schemas-microsoft-com:office:smarttags" w:element="chmetcnv">
        <w:smartTagPr>
          <w:attr w:name="UnitName" w:val="C"/>
          <w:attr w:name="SourceValue" w:val="650"/>
          <w:attr w:name="HasSpace" w:val="False"/>
          <w:attr w:name="Negative" w:val="False"/>
          <w:attr w:name="NumberType" w:val="1"/>
          <w:attr w:name="TCSC" w:val="0"/>
        </w:smartTagPr>
        <w:r w:rsidRPr="00741C97">
          <w:rPr>
            <w:sz w:val="20"/>
            <w:szCs w:val="20"/>
          </w:rPr>
          <w:t>65</w:t>
        </w:r>
        <w:r w:rsidRPr="00730CD7">
          <w:rPr>
            <w:sz w:val="20"/>
            <w:szCs w:val="20"/>
            <w:vertAlign w:val="superscript"/>
          </w:rPr>
          <w:t>0</w:t>
        </w:r>
        <w:r w:rsidRPr="00741C97">
          <w:rPr>
            <w:sz w:val="20"/>
            <w:szCs w:val="20"/>
          </w:rPr>
          <w:t>C</w:t>
        </w:r>
      </w:smartTag>
      <w:r w:rsidRPr="00741C97">
        <w:rPr>
          <w:sz w:val="20"/>
          <w:szCs w:val="20"/>
        </w:rPr>
        <w:t xml:space="preserve"> for 45 min and then heated at </w:t>
      </w:r>
      <w:smartTag w:uri="urn:schemas-microsoft-com:office:smarttags" w:element="chmetcnv">
        <w:smartTagPr>
          <w:attr w:name="UnitName" w:val="C"/>
          <w:attr w:name="SourceValue" w:val="800"/>
          <w:attr w:name="HasSpace" w:val="False"/>
          <w:attr w:name="Negative" w:val="False"/>
          <w:attr w:name="NumberType" w:val="1"/>
          <w:attr w:name="TCSC" w:val="0"/>
        </w:smartTagPr>
        <w:r w:rsidRPr="00741C97">
          <w:rPr>
            <w:sz w:val="20"/>
            <w:szCs w:val="20"/>
          </w:rPr>
          <w:t>80</w:t>
        </w:r>
        <w:r w:rsidRPr="00730CD7">
          <w:rPr>
            <w:sz w:val="20"/>
            <w:szCs w:val="20"/>
            <w:vertAlign w:val="superscript"/>
          </w:rPr>
          <w:t>0</w:t>
        </w:r>
        <w:r w:rsidRPr="00741C97">
          <w:rPr>
            <w:sz w:val="20"/>
            <w:szCs w:val="20"/>
          </w:rPr>
          <w:t>C</w:t>
        </w:r>
      </w:smartTag>
      <w:r w:rsidRPr="00741C97">
        <w:rPr>
          <w:sz w:val="20"/>
          <w:szCs w:val="20"/>
        </w:rPr>
        <w:t xml:space="preserve"> for 5 min to terminate the reaction.  Amplification data were analyzed by software applied with the RT-Cycler and calculated the time to reach thresholds (</w:t>
      </w:r>
      <w:proofErr w:type="spellStart"/>
      <w:r w:rsidRPr="00741C97">
        <w:rPr>
          <w:sz w:val="20"/>
          <w:szCs w:val="20"/>
        </w:rPr>
        <w:t>Tt</w:t>
      </w:r>
      <w:proofErr w:type="spellEnd"/>
      <w:r w:rsidRPr="00741C97">
        <w:rPr>
          <w:sz w:val="20"/>
          <w:szCs w:val="20"/>
        </w:rPr>
        <w:t xml:space="preserve">) </w:t>
      </w:r>
    </w:p>
    <w:p w:rsidR="00773B42" w:rsidRPr="00741C97" w:rsidRDefault="00773B42" w:rsidP="00773B42">
      <w:pPr>
        <w:spacing w:line="480" w:lineRule="auto"/>
        <w:ind w:firstLine="420"/>
        <w:jc w:val="left"/>
        <w:rPr>
          <w:sz w:val="20"/>
          <w:szCs w:val="20"/>
        </w:rPr>
      </w:pPr>
    </w:p>
    <w:p w:rsidR="00773B42" w:rsidRPr="00741C97" w:rsidRDefault="00773B42" w:rsidP="00773B42">
      <w:pPr>
        <w:spacing w:line="480" w:lineRule="auto"/>
        <w:ind w:firstLine="420"/>
        <w:jc w:val="left"/>
        <w:rPr>
          <w:sz w:val="20"/>
          <w:szCs w:val="20"/>
        </w:rPr>
      </w:pPr>
      <w:r w:rsidRPr="00741C97">
        <w:rPr>
          <w:sz w:val="20"/>
          <w:szCs w:val="20"/>
        </w:rPr>
        <w:t xml:space="preserve">Quantified DNA of the 8 tested bacteria, which was extracted and purified by </w:t>
      </w:r>
      <w:proofErr w:type="spellStart"/>
      <w:r w:rsidRPr="00741C97">
        <w:rPr>
          <w:sz w:val="20"/>
          <w:szCs w:val="20"/>
        </w:rPr>
        <w:t>QIAamp</w:t>
      </w:r>
      <w:proofErr w:type="spellEnd"/>
      <w:r w:rsidRPr="00741C97">
        <w:rPr>
          <w:sz w:val="20"/>
          <w:szCs w:val="20"/>
        </w:rPr>
        <w:t xml:space="preserve"> according to the manufacturer’s instructions, was serially diluted as positive control. Concentration of copy-number of genomic equivalents was calculated based on its genome size to plot standard curve. Then the equivalent copy numbers of the template DNA were determined based on the standard curves generated from quantified control DNA.</w:t>
      </w:r>
    </w:p>
    <w:p w:rsidR="00773B42" w:rsidRPr="00741C97" w:rsidRDefault="00773B42" w:rsidP="00773B42">
      <w:pPr>
        <w:spacing w:line="480" w:lineRule="auto"/>
        <w:ind w:firstLine="420"/>
        <w:jc w:val="left"/>
        <w:rPr>
          <w:sz w:val="20"/>
          <w:szCs w:val="20"/>
        </w:rPr>
      </w:pPr>
    </w:p>
    <w:p w:rsidR="00773B42" w:rsidRPr="00741C97" w:rsidRDefault="00773B42" w:rsidP="00773B42">
      <w:pPr>
        <w:spacing w:line="480" w:lineRule="auto"/>
        <w:ind w:firstLine="420"/>
        <w:jc w:val="left"/>
        <w:rPr>
          <w:sz w:val="20"/>
          <w:szCs w:val="20"/>
        </w:rPr>
      </w:pPr>
      <w:r w:rsidRPr="00741C97">
        <w:rPr>
          <w:sz w:val="20"/>
          <w:szCs w:val="20"/>
        </w:rPr>
        <w:t xml:space="preserve">The sensitivity </w:t>
      </w:r>
      <w:r>
        <w:rPr>
          <w:rFonts w:hint="eastAsia"/>
          <w:sz w:val="20"/>
          <w:szCs w:val="20"/>
        </w:rPr>
        <w:t xml:space="preserve">of each set of primers was determined by serially </w:t>
      </w:r>
      <w:r>
        <w:rPr>
          <w:sz w:val="20"/>
          <w:szCs w:val="20"/>
        </w:rPr>
        <w:t>diluted</w:t>
      </w:r>
      <w:r>
        <w:rPr>
          <w:rFonts w:hint="eastAsia"/>
          <w:sz w:val="20"/>
          <w:szCs w:val="20"/>
        </w:rPr>
        <w:t xml:space="preserve"> each targeted DNA template as the consistently detectable minimal content (</w:t>
      </w:r>
      <w:r w:rsidRPr="00741C97">
        <w:rPr>
          <w:sz w:val="20"/>
          <w:szCs w:val="20"/>
        </w:rPr>
        <w:t>copies/</w:t>
      </w:r>
      <w:proofErr w:type="spellStart"/>
      <w:r w:rsidRPr="00741C97">
        <w:rPr>
          <w:sz w:val="20"/>
          <w:szCs w:val="20"/>
        </w:rPr>
        <w:t>μl</w:t>
      </w:r>
      <w:proofErr w:type="spellEnd"/>
      <w:r w:rsidRPr="00741C97">
        <w:rPr>
          <w:sz w:val="20"/>
          <w:szCs w:val="20"/>
        </w:rPr>
        <w:t xml:space="preserve"> DNA template</w:t>
      </w:r>
      <w:r>
        <w:rPr>
          <w:rFonts w:hint="eastAsia"/>
          <w:sz w:val="20"/>
          <w:szCs w:val="20"/>
        </w:rPr>
        <w:t>)</w:t>
      </w:r>
      <w:r w:rsidRPr="00741C97">
        <w:rPr>
          <w:sz w:val="20"/>
          <w:szCs w:val="20"/>
        </w:rPr>
        <w:t xml:space="preserve">, </w:t>
      </w:r>
      <w:r>
        <w:rPr>
          <w:rFonts w:hint="eastAsia"/>
          <w:sz w:val="20"/>
          <w:szCs w:val="20"/>
        </w:rPr>
        <w:t>t</w:t>
      </w:r>
      <w:r w:rsidRPr="00741C97">
        <w:rPr>
          <w:sz w:val="20"/>
          <w:szCs w:val="20"/>
        </w:rPr>
        <w:t xml:space="preserve">hen traced </w:t>
      </w:r>
      <w:r>
        <w:rPr>
          <w:rFonts w:hint="eastAsia"/>
          <w:sz w:val="20"/>
          <w:szCs w:val="20"/>
        </w:rPr>
        <w:t xml:space="preserve">to </w:t>
      </w:r>
      <w:r w:rsidRPr="00741C97">
        <w:rPr>
          <w:sz w:val="20"/>
          <w:szCs w:val="20"/>
        </w:rPr>
        <w:t>the titer of bacteria in sputum by the following equation:</w:t>
      </w:r>
    </w:p>
    <w:p w:rsidR="00773B42" w:rsidRDefault="00773B42" w:rsidP="00773B42">
      <w:pPr>
        <w:spacing w:line="480" w:lineRule="auto"/>
        <w:ind w:firstLine="420"/>
        <w:jc w:val="left"/>
        <w:rPr>
          <w:sz w:val="20"/>
          <w:szCs w:val="20"/>
        </w:rPr>
      </w:pPr>
      <w:r w:rsidRPr="00015613">
        <w:rPr>
          <w:sz w:val="20"/>
          <w:szCs w:val="20"/>
        </w:rPr>
        <w:t>Titer in sputum [copies/ml] = copies/</w:t>
      </w:r>
      <w:proofErr w:type="spellStart"/>
      <w:r w:rsidRPr="00741C97">
        <w:rPr>
          <w:sz w:val="20"/>
          <w:szCs w:val="20"/>
        </w:rPr>
        <w:t>μ</w:t>
      </w:r>
      <w:r w:rsidRPr="00015613">
        <w:rPr>
          <w:sz w:val="20"/>
          <w:szCs w:val="20"/>
        </w:rPr>
        <w:t>l</w:t>
      </w:r>
      <w:proofErr w:type="spellEnd"/>
      <w:r w:rsidRPr="00015613">
        <w:rPr>
          <w:sz w:val="20"/>
          <w:szCs w:val="20"/>
        </w:rPr>
        <w:t xml:space="preserve"> (content in DNA template) × 100</w:t>
      </w:r>
      <w:r w:rsidRPr="00741C97">
        <w:rPr>
          <w:sz w:val="20"/>
          <w:szCs w:val="20"/>
        </w:rPr>
        <w:t>μ</w:t>
      </w:r>
      <w:r w:rsidRPr="00015613">
        <w:rPr>
          <w:sz w:val="20"/>
          <w:szCs w:val="20"/>
        </w:rPr>
        <w:t xml:space="preserve">l (template volume) / 0.5 ml (sputum volume) </w:t>
      </w:r>
    </w:p>
    <w:p w:rsidR="00773B42" w:rsidRDefault="00773B42" w:rsidP="00773B42">
      <w:pPr>
        <w:spacing w:line="480" w:lineRule="auto"/>
        <w:ind w:firstLine="420"/>
        <w:jc w:val="left"/>
        <w:rPr>
          <w:sz w:val="20"/>
          <w:szCs w:val="20"/>
        </w:rPr>
      </w:pPr>
      <w:r>
        <w:rPr>
          <w:sz w:val="20"/>
          <w:szCs w:val="20"/>
        </w:rPr>
        <w:t>T</w:t>
      </w:r>
      <w:r>
        <w:rPr>
          <w:rFonts w:hint="eastAsia"/>
          <w:sz w:val="20"/>
          <w:szCs w:val="20"/>
        </w:rPr>
        <w:t>he specificity of e</w:t>
      </w:r>
      <w:r w:rsidRPr="00741C97">
        <w:rPr>
          <w:sz w:val="20"/>
          <w:szCs w:val="20"/>
        </w:rPr>
        <w:t xml:space="preserve">ach set of primers were evaluated by quantified bacteria DNA of 27 species (8 targeted and 19 reference species, listed in </w:t>
      </w:r>
      <w:r>
        <w:rPr>
          <w:rFonts w:hint="eastAsia"/>
          <w:sz w:val="20"/>
          <w:szCs w:val="20"/>
        </w:rPr>
        <w:t xml:space="preserve">Supplement </w:t>
      </w:r>
      <w:r w:rsidRPr="00741C97">
        <w:rPr>
          <w:sz w:val="20"/>
          <w:szCs w:val="20"/>
        </w:rPr>
        <w:t xml:space="preserve">Table </w:t>
      </w:r>
      <w:r>
        <w:rPr>
          <w:rFonts w:hint="eastAsia"/>
          <w:sz w:val="20"/>
          <w:szCs w:val="20"/>
        </w:rPr>
        <w:t>4</w:t>
      </w:r>
      <w:r>
        <w:rPr>
          <w:sz w:val="20"/>
          <w:szCs w:val="20"/>
        </w:rPr>
        <w:t>) obtained as mentioned above</w:t>
      </w:r>
      <w:r>
        <w:rPr>
          <w:rFonts w:hint="eastAsia"/>
          <w:sz w:val="20"/>
          <w:szCs w:val="20"/>
        </w:rPr>
        <w:t>, to exclude primer set show any cross reaction with other species DNA.</w:t>
      </w:r>
    </w:p>
    <w:p w:rsidR="00773B42" w:rsidRPr="00741C97" w:rsidRDefault="00773B42" w:rsidP="00773B42">
      <w:pPr>
        <w:spacing w:line="480" w:lineRule="auto"/>
        <w:ind w:firstLine="420"/>
        <w:jc w:val="left"/>
        <w:rPr>
          <w:sz w:val="20"/>
          <w:szCs w:val="20"/>
        </w:rPr>
      </w:pPr>
      <w:r>
        <w:rPr>
          <w:rFonts w:hint="eastAsia"/>
          <w:sz w:val="20"/>
          <w:szCs w:val="20"/>
        </w:rPr>
        <w:lastRenderedPageBreak/>
        <w:t xml:space="preserve">Serially </w:t>
      </w:r>
      <w:r>
        <w:rPr>
          <w:sz w:val="20"/>
          <w:szCs w:val="20"/>
        </w:rPr>
        <w:t>diluted</w:t>
      </w:r>
      <w:r>
        <w:rPr>
          <w:rFonts w:hint="eastAsia"/>
          <w:sz w:val="20"/>
          <w:szCs w:val="20"/>
        </w:rPr>
        <w:t xml:space="preserve"> each targeted DNA templates were tested at least 8 times at different time and on different machines.  </w:t>
      </w:r>
      <w:r>
        <w:rPr>
          <w:sz w:val="20"/>
          <w:szCs w:val="20"/>
        </w:rPr>
        <w:t>T</w:t>
      </w:r>
      <w:r>
        <w:rPr>
          <w:rFonts w:hint="eastAsia"/>
          <w:sz w:val="20"/>
          <w:szCs w:val="20"/>
        </w:rPr>
        <w:t>he ranges of error were calculated to evaluate the reproducibility of our LAMP system.</w:t>
      </w:r>
    </w:p>
    <w:p w:rsidR="00773B42" w:rsidRPr="00741C97" w:rsidRDefault="00773B42" w:rsidP="00773B42">
      <w:pPr>
        <w:jc w:val="left"/>
        <w:rPr>
          <w:sz w:val="20"/>
          <w:szCs w:val="20"/>
        </w:rPr>
      </w:pPr>
    </w:p>
    <w:p w:rsidR="00773B42" w:rsidRPr="00741C97" w:rsidRDefault="00773B42" w:rsidP="00773B42">
      <w:pPr>
        <w:jc w:val="left"/>
        <w:rPr>
          <w:b/>
          <w:sz w:val="20"/>
          <w:szCs w:val="20"/>
        </w:rPr>
      </w:pPr>
      <w:r w:rsidRPr="00741C97">
        <w:rPr>
          <w:b/>
          <w:sz w:val="20"/>
          <w:szCs w:val="20"/>
        </w:rPr>
        <w:t>Logistic model</w:t>
      </w:r>
    </w:p>
    <w:p w:rsidR="00773B42" w:rsidRPr="00741C97" w:rsidRDefault="00773B42" w:rsidP="00773B42">
      <w:pPr>
        <w:spacing w:line="480" w:lineRule="auto"/>
        <w:ind w:firstLine="420"/>
        <w:jc w:val="left"/>
        <w:rPr>
          <w:sz w:val="20"/>
          <w:szCs w:val="20"/>
        </w:rPr>
      </w:pPr>
      <w:r w:rsidRPr="00741C97">
        <w:rPr>
          <w:sz w:val="20"/>
          <w:szCs w:val="20"/>
        </w:rPr>
        <w:t>Because the detection limit of LAMP in our study was 10</w:t>
      </w:r>
      <w:r w:rsidRPr="00741C97">
        <w:rPr>
          <w:sz w:val="20"/>
          <w:szCs w:val="20"/>
          <w:vertAlign w:val="superscript"/>
        </w:rPr>
        <w:t>3</w:t>
      </w:r>
      <w:r w:rsidRPr="00741C97">
        <w:rPr>
          <w:sz w:val="20"/>
          <w:szCs w:val="20"/>
        </w:rPr>
        <w:t xml:space="preserve">copies/ml, there must be some cases </w:t>
      </w:r>
      <w:proofErr w:type="gramStart"/>
      <w:r w:rsidRPr="00741C97">
        <w:rPr>
          <w:sz w:val="20"/>
          <w:szCs w:val="20"/>
        </w:rPr>
        <w:t>who</w:t>
      </w:r>
      <w:proofErr w:type="gramEnd"/>
      <w:r w:rsidRPr="00741C97">
        <w:rPr>
          <w:sz w:val="20"/>
          <w:szCs w:val="20"/>
        </w:rPr>
        <w:t xml:space="preserve"> carried bacteria with titer lower than 10</w:t>
      </w:r>
      <w:r w:rsidRPr="00741C97">
        <w:rPr>
          <w:sz w:val="20"/>
          <w:szCs w:val="20"/>
          <w:vertAlign w:val="superscript"/>
        </w:rPr>
        <w:t>3</w:t>
      </w:r>
      <w:r w:rsidRPr="00741C97">
        <w:rPr>
          <w:sz w:val="20"/>
          <w:szCs w:val="20"/>
        </w:rPr>
        <w:t xml:space="preserve">copies/ml and were not detected by LAMP. </w:t>
      </w:r>
      <w:r>
        <w:rPr>
          <w:rFonts w:hint="eastAsia"/>
          <w:sz w:val="20"/>
          <w:szCs w:val="20"/>
        </w:rPr>
        <w:t xml:space="preserve"> </w:t>
      </w:r>
      <w:r w:rsidRPr="00741C97">
        <w:rPr>
          <w:sz w:val="20"/>
          <w:szCs w:val="20"/>
        </w:rPr>
        <w:t xml:space="preserve">These cases still had small probabilities to be positively-cultured, and should not be neglected in regression calculation. </w:t>
      </w:r>
      <w:r>
        <w:rPr>
          <w:rFonts w:hint="eastAsia"/>
          <w:sz w:val="20"/>
          <w:szCs w:val="20"/>
        </w:rPr>
        <w:t xml:space="preserve"> </w:t>
      </w:r>
      <w:r w:rsidRPr="00741C97">
        <w:rPr>
          <w:sz w:val="20"/>
          <w:szCs w:val="20"/>
        </w:rPr>
        <w:t>Because their accurate titer values were unknown, we use a randomizing approach to assign their titer for regression, (i.e. to consider their titer was normally distributed with 99% within the interval (0, 10</w:t>
      </w:r>
      <w:r w:rsidRPr="00741C97">
        <w:rPr>
          <w:sz w:val="20"/>
          <w:szCs w:val="20"/>
          <w:vertAlign w:val="superscript"/>
        </w:rPr>
        <w:t>3</w:t>
      </w:r>
      <w:r w:rsidRPr="00741C97">
        <w:rPr>
          <w:sz w:val="20"/>
          <w:szCs w:val="20"/>
        </w:rPr>
        <w:t>).  Thereby, we used all the 1533 cases in regression calculation for each species.</w:t>
      </w:r>
    </w:p>
    <w:p w:rsidR="00773B42" w:rsidRPr="00741C97" w:rsidRDefault="00773B42" w:rsidP="00773B42">
      <w:pPr>
        <w:jc w:val="left"/>
        <w:rPr>
          <w:sz w:val="20"/>
          <w:szCs w:val="20"/>
        </w:rPr>
      </w:pPr>
    </w:p>
    <w:p w:rsidR="00773B42" w:rsidRPr="00741C97" w:rsidRDefault="00773B42" w:rsidP="00773B42">
      <w:pPr>
        <w:spacing w:line="480" w:lineRule="auto"/>
        <w:ind w:firstLine="420"/>
        <w:jc w:val="left"/>
        <w:rPr>
          <w:sz w:val="20"/>
          <w:szCs w:val="20"/>
        </w:rPr>
      </w:pPr>
      <w:r w:rsidRPr="00741C97">
        <w:rPr>
          <w:sz w:val="20"/>
          <w:szCs w:val="20"/>
        </w:rPr>
        <w:t xml:space="preserve">In the regression, we extended the linear model </w:t>
      </w:r>
      <w:r>
        <w:rPr>
          <w:sz w:val="20"/>
          <w:szCs w:val="20"/>
        </w:rPr>
        <w:t>‘</w:t>
      </w:r>
      <w:r w:rsidRPr="00741C97">
        <w:rPr>
          <w:sz w:val="20"/>
          <w:szCs w:val="20"/>
        </w:rPr>
        <w:t>Y =</w:t>
      </w:r>
      <w:r w:rsidRPr="00741C97">
        <w:rPr>
          <w:i/>
          <w:sz w:val="20"/>
          <w:szCs w:val="20"/>
        </w:rPr>
        <w:t xml:space="preserve"> </w:t>
      </w:r>
      <w:r w:rsidRPr="00741C97">
        <w:rPr>
          <w:i/>
          <w:sz w:val="20"/>
          <w:szCs w:val="20"/>
        </w:rPr>
        <w:sym w:font="Symbol" w:char="F062"/>
      </w:r>
      <w:r w:rsidRPr="00741C97">
        <w:rPr>
          <w:i/>
          <w:sz w:val="20"/>
          <w:szCs w:val="20"/>
          <w:vertAlign w:val="subscript"/>
        </w:rPr>
        <w:t>0</w:t>
      </w:r>
      <w:r w:rsidRPr="00741C97">
        <w:rPr>
          <w:sz w:val="20"/>
          <w:szCs w:val="20"/>
        </w:rPr>
        <w:t xml:space="preserve"> +</w:t>
      </w:r>
      <w:r w:rsidRPr="00741C97">
        <w:rPr>
          <w:i/>
          <w:sz w:val="20"/>
          <w:szCs w:val="20"/>
        </w:rPr>
        <w:t xml:space="preserve"> </w:t>
      </w:r>
      <w:r w:rsidRPr="00741C97">
        <w:rPr>
          <w:i/>
          <w:sz w:val="20"/>
          <w:szCs w:val="20"/>
        </w:rPr>
        <w:sym w:font="Symbol" w:char="F062"/>
      </w:r>
      <w:r w:rsidRPr="00741C97">
        <w:rPr>
          <w:i/>
          <w:sz w:val="20"/>
          <w:szCs w:val="20"/>
          <w:vertAlign w:val="subscript"/>
        </w:rPr>
        <w:t>1</w:t>
      </w:r>
      <w:r w:rsidRPr="00741C97">
        <w:rPr>
          <w:sz w:val="20"/>
          <w:szCs w:val="20"/>
        </w:rPr>
        <w:t xml:space="preserve">X + </w:t>
      </w:r>
      <w:r w:rsidRPr="00741C97">
        <w:rPr>
          <w:i/>
          <w:sz w:val="20"/>
          <w:szCs w:val="20"/>
        </w:rPr>
        <w:t>e</w:t>
      </w:r>
      <w:r>
        <w:rPr>
          <w:i/>
          <w:sz w:val="20"/>
          <w:szCs w:val="20"/>
        </w:rPr>
        <w:t>’</w:t>
      </w:r>
      <w:r w:rsidRPr="00741C97">
        <w:rPr>
          <w:sz w:val="20"/>
          <w:szCs w:val="20"/>
        </w:rPr>
        <w:t xml:space="preserve"> to nonlinear modal </w:t>
      </w:r>
      <w:r>
        <w:rPr>
          <w:sz w:val="20"/>
          <w:szCs w:val="20"/>
        </w:rPr>
        <w:t>‘</w:t>
      </w:r>
      <w:r w:rsidRPr="00741C97">
        <w:rPr>
          <w:sz w:val="20"/>
          <w:szCs w:val="20"/>
        </w:rPr>
        <w:t>Y =</w:t>
      </w:r>
      <w:r w:rsidRPr="00741C97">
        <w:rPr>
          <w:i/>
          <w:sz w:val="20"/>
          <w:szCs w:val="20"/>
        </w:rPr>
        <w:sym w:font="Symbol" w:char="F062"/>
      </w:r>
      <w:r w:rsidRPr="00741C97">
        <w:rPr>
          <w:i/>
          <w:sz w:val="20"/>
          <w:szCs w:val="20"/>
          <w:vertAlign w:val="subscript"/>
        </w:rPr>
        <w:t>0</w:t>
      </w:r>
      <w:r w:rsidRPr="00741C97">
        <w:rPr>
          <w:sz w:val="20"/>
          <w:szCs w:val="20"/>
        </w:rPr>
        <w:t xml:space="preserve"> +</w:t>
      </w:r>
      <w:r w:rsidRPr="00741C97">
        <w:rPr>
          <w:i/>
          <w:sz w:val="20"/>
          <w:szCs w:val="20"/>
        </w:rPr>
        <w:t xml:space="preserve"> </w:t>
      </w:r>
      <w:r w:rsidRPr="00741C97">
        <w:rPr>
          <w:i/>
          <w:sz w:val="20"/>
          <w:szCs w:val="20"/>
        </w:rPr>
        <w:sym w:font="Symbol" w:char="F062"/>
      </w:r>
      <w:r w:rsidRPr="00741C97">
        <w:rPr>
          <w:i/>
          <w:sz w:val="20"/>
          <w:szCs w:val="20"/>
          <w:vertAlign w:val="subscript"/>
        </w:rPr>
        <w:t>1</w:t>
      </w:r>
      <w:r w:rsidRPr="00741C97">
        <w:rPr>
          <w:sz w:val="20"/>
          <w:szCs w:val="20"/>
        </w:rPr>
        <w:t xml:space="preserve"> </w:t>
      </w:r>
      <w:proofErr w:type="spellStart"/>
      <w:r w:rsidRPr="00741C97">
        <w:rPr>
          <w:sz w:val="20"/>
          <w:szCs w:val="20"/>
        </w:rPr>
        <w:t>ln</w:t>
      </w:r>
      <w:proofErr w:type="spellEnd"/>
      <w:r w:rsidRPr="00741C97">
        <w:rPr>
          <w:sz w:val="20"/>
          <w:szCs w:val="20"/>
        </w:rPr>
        <w:t xml:space="preserve"> (X) + </w:t>
      </w:r>
      <w:r w:rsidRPr="00741C97">
        <w:rPr>
          <w:i/>
          <w:sz w:val="20"/>
          <w:szCs w:val="20"/>
        </w:rPr>
        <w:t>e</w:t>
      </w:r>
      <w:r>
        <w:rPr>
          <w:i/>
          <w:sz w:val="20"/>
          <w:szCs w:val="20"/>
        </w:rPr>
        <w:t>’</w:t>
      </w:r>
      <w:r w:rsidRPr="00741C97">
        <w:rPr>
          <w:sz w:val="20"/>
          <w:szCs w:val="20"/>
        </w:rPr>
        <w:t xml:space="preserve">, which was supported by Wald-test. </w:t>
      </w:r>
    </w:p>
    <w:p w:rsidR="00773B42" w:rsidRPr="00741C97" w:rsidRDefault="00773B42" w:rsidP="00773B42">
      <w:pPr>
        <w:ind w:firstLine="420"/>
        <w:jc w:val="left"/>
        <w:rPr>
          <w:sz w:val="20"/>
          <w:szCs w:val="20"/>
        </w:rPr>
      </w:pPr>
    </w:p>
    <w:p w:rsidR="00773B42" w:rsidRPr="003B78C6" w:rsidRDefault="00773B42" w:rsidP="00773B42">
      <w:pPr>
        <w:spacing w:line="480" w:lineRule="auto"/>
        <w:ind w:firstLine="420"/>
        <w:jc w:val="left"/>
        <w:rPr>
          <w:b/>
          <w:sz w:val="20"/>
          <w:szCs w:val="20"/>
        </w:rPr>
      </w:pPr>
      <w:r w:rsidRPr="003B78C6">
        <w:rPr>
          <w:b/>
          <w:sz w:val="20"/>
          <w:szCs w:val="20"/>
        </w:rPr>
        <w:t xml:space="preserve">References </w:t>
      </w:r>
    </w:p>
    <w:p w:rsidR="00773B42" w:rsidRPr="00741C97" w:rsidRDefault="00773B42" w:rsidP="00773B42">
      <w:pPr>
        <w:spacing w:line="480" w:lineRule="auto"/>
        <w:ind w:firstLine="420"/>
        <w:jc w:val="left"/>
        <w:rPr>
          <w:sz w:val="20"/>
          <w:szCs w:val="20"/>
        </w:rPr>
      </w:pPr>
      <w:r w:rsidRPr="00741C97">
        <w:rPr>
          <w:sz w:val="20"/>
          <w:szCs w:val="20"/>
        </w:rPr>
        <w:t>1.</w:t>
      </w:r>
      <w:r w:rsidRPr="00741C97">
        <w:rPr>
          <w:sz w:val="20"/>
          <w:szCs w:val="20"/>
        </w:rPr>
        <w:tab/>
      </w:r>
      <w:proofErr w:type="spellStart"/>
      <w:r w:rsidRPr="00741C97">
        <w:rPr>
          <w:sz w:val="20"/>
          <w:szCs w:val="20"/>
        </w:rPr>
        <w:t>Notomi</w:t>
      </w:r>
      <w:proofErr w:type="spellEnd"/>
      <w:r w:rsidRPr="00741C97">
        <w:rPr>
          <w:sz w:val="20"/>
          <w:szCs w:val="20"/>
        </w:rPr>
        <w:t xml:space="preserve"> T, Okayama H, </w:t>
      </w:r>
      <w:proofErr w:type="spellStart"/>
      <w:r w:rsidRPr="00741C97">
        <w:rPr>
          <w:sz w:val="20"/>
          <w:szCs w:val="20"/>
        </w:rPr>
        <w:t>Masubuchi</w:t>
      </w:r>
      <w:proofErr w:type="spellEnd"/>
      <w:r w:rsidRPr="00741C97">
        <w:rPr>
          <w:sz w:val="20"/>
          <w:szCs w:val="20"/>
        </w:rPr>
        <w:t xml:space="preserve"> H, </w:t>
      </w:r>
      <w:proofErr w:type="spellStart"/>
      <w:r w:rsidRPr="00741C97">
        <w:rPr>
          <w:sz w:val="20"/>
          <w:szCs w:val="20"/>
        </w:rPr>
        <w:t>Yonekawa</w:t>
      </w:r>
      <w:proofErr w:type="spellEnd"/>
      <w:r w:rsidRPr="00741C97">
        <w:rPr>
          <w:sz w:val="20"/>
          <w:szCs w:val="20"/>
        </w:rPr>
        <w:t xml:space="preserve"> T, Watanabe K, Amino N, </w:t>
      </w:r>
      <w:proofErr w:type="spellStart"/>
      <w:r w:rsidRPr="00741C97">
        <w:rPr>
          <w:sz w:val="20"/>
          <w:szCs w:val="20"/>
        </w:rPr>
        <w:t>Hase</w:t>
      </w:r>
      <w:proofErr w:type="spellEnd"/>
      <w:r w:rsidRPr="00741C97">
        <w:rPr>
          <w:sz w:val="20"/>
          <w:szCs w:val="20"/>
        </w:rPr>
        <w:t xml:space="preserve"> T. Loop- mediated isothermal amplification of DNA. Nucleic Acids Res. 2000 Jun 15</w:t>
      </w:r>
      <w:proofErr w:type="gramStart"/>
      <w:r w:rsidRPr="00741C97">
        <w:rPr>
          <w:sz w:val="20"/>
          <w:szCs w:val="20"/>
        </w:rPr>
        <w:t>;28</w:t>
      </w:r>
      <w:proofErr w:type="gramEnd"/>
      <w:r w:rsidRPr="00741C97">
        <w:rPr>
          <w:sz w:val="20"/>
          <w:szCs w:val="20"/>
        </w:rPr>
        <w:t>(12):E63</w:t>
      </w:r>
    </w:p>
    <w:p w:rsidR="00773B42" w:rsidRPr="00741C97" w:rsidRDefault="00773B42" w:rsidP="00773B42">
      <w:pPr>
        <w:spacing w:line="480" w:lineRule="auto"/>
        <w:ind w:firstLine="420"/>
        <w:jc w:val="left"/>
        <w:rPr>
          <w:sz w:val="20"/>
          <w:szCs w:val="20"/>
        </w:rPr>
      </w:pPr>
      <w:r w:rsidRPr="00741C97">
        <w:rPr>
          <w:sz w:val="20"/>
          <w:szCs w:val="20"/>
        </w:rPr>
        <w:t>2.</w:t>
      </w:r>
      <w:r w:rsidRPr="00741C97">
        <w:rPr>
          <w:sz w:val="20"/>
          <w:szCs w:val="20"/>
        </w:rPr>
        <w:tab/>
      </w:r>
      <w:proofErr w:type="spellStart"/>
      <w:r w:rsidRPr="00741C97">
        <w:rPr>
          <w:sz w:val="20"/>
          <w:szCs w:val="20"/>
        </w:rPr>
        <w:t>Nagamine</w:t>
      </w:r>
      <w:proofErr w:type="spellEnd"/>
      <w:r w:rsidRPr="00741C97">
        <w:rPr>
          <w:sz w:val="20"/>
          <w:szCs w:val="20"/>
        </w:rPr>
        <w:t xml:space="preserve"> K, </w:t>
      </w:r>
      <w:proofErr w:type="spellStart"/>
      <w:r w:rsidRPr="00741C97">
        <w:rPr>
          <w:sz w:val="20"/>
          <w:szCs w:val="20"/>
        </w:rPr>
        <w:t>Hase</w:t>
      </w:r>
      <w:proofErr w:type="spellEnd"/>
      <w:r w:rsidRPr="00741C97">
        <w:rPr>
          <w:sz w:val="20"/>
          <w:szCs w:val="20"/>
        </w:rPr>
        <w:t xml:space="preserve"> T, </w:t>
      </w:r>
      <w:proofErr w:type="spellStart"/>
      <w:r w:rsidRPr="00741C97">
        <w:rPr>
          <w:sz w:val="20"/>
          <w:szCs w:val="20"/>
        </w:rPr>
        <w:t>Notomi</w:t>
      </w:r>
      <w:proofErr w:type="spellEnd"/>
      <w:r w:rsidRPr="00741C97">
        <w:rPr>
          <w:sz w:val="20"/>
          <w:szCs w:val="20"/>
        </w:rPr>
        <w:t xml:space="preserve"> T. Accelerated reaction by loop-mediated isothermal amplification using loop primers. Mol Cell Probes. 2002 Jun</w:t>
      </w:r>
      <w:proofErr w:type="gramStart"/>
      <w:r w:rsidRPr="00741C97">
        <w:rPr>
          <w:sz w:val="20"/>
          <w:szCs w:val="20"/>
        </w:rPr>
        <w:t>;16</w:t>
      </w:r>
      <w:proofErr w:type="gramEnd"/>
      <w:r w:rsidRPr="00741C97">
        <w:rPr>
          <w:sz w:val="20"/>
          <w:szCs w:val="20"/>
        </w:rPr>
        <w:t>(3):223-9.</w:t>
      </w:r>
    </w:p>
    <w:p w:rsidR="00773B42" w:rsidRPr="00741C97" w:rsidRDefault="00773B42" w:rsidP="00773B42">
      <w:pPr>
        <w:spacing w:line="480" w:lineRule="auto"/>
        <w:ind w:firstLine="420"/>
        <w:jc w:val="left"/>
        <w:rPr>
          <w:sz w:val="20"/>
          <w:szCs w:val="20"/>
        </w:rPr>
      </w:pPr>
      <w:r w:rsidRPr="00741C97">
        <w:rPr>
          <w:sz w:val="20"/>
          <w:szCs w:val="20"/>
        </w:rPr>
        <w:t>3.</w:t>
      </w:r>
      <w:r w:rsidRPr="00741C97">
        <w:rPr>
          <w:sz w:val="20"/>
          <w:szCs w:val="20"/>
        </w:rPr>
        <w:tab/>
      </w:r>
      <w:proofErr w:type="spellStart"/>
      <w:r w:rsidRPr="00741C97">
        <w:rPr>
          <w:sz w:val="20"/>
          <w:szCs w:val="20"/>
        </w:rPr>
        <w:t>Aoi</w:t>
      </w:r>
      <w:proofErr w:type="spellEnd"/>
      <w:r w:rsidRPr="00741C97">
        <w:rPr>
          <w:sz w:val="20"/>
          <w:szCs w:val="20"/>
        </w:rPr>
        <w:t xml:space="preserve"> Y, </w:t>
      </w:r>
      <w:proofErr w:type="spellStart"/>
      <w:r w:rsidRPr="00741C97">
        <w:rPr>
          <w:sz w:val="20"/>
          <w:szCs w:val="20"/>
        </w:rPr>
        <w:t>Hosogai</w:t>
      </w:r>
      <w:proofErr w:type="spellEnd"/>
      <w:r w:rsidRPr="00741C97">
        <w:rPr>
          <w:sz w:val="20"/>
          <w:szCs w:val="20"/>
        </w:rPr>
        <w:t xml:space="preserve"> M, </w:t>
      </w:r>
      <w:proofErr w:type="spellStart"/>
      <w:r w:rsidRPr="00741C97">
        <w:rPr>
          <w:sz w:val="20"/>
          <w:szCs w:val="20"/>
        </w:rPr>
        <w:t>Tsuneda</w:t>
      </w:r>
      <w:proofErr w:type="spellEnd"/>
      <w:r w:rsidRPr="00741C97">
        <w:rPr>
          <w:sz w:val="20"/>
          <w:szCs w:val="20"/>
        </w:rPr>
        <w:t xml:space="preserve"> S. Real-time quantitative LAMP (loop-mediated isothermal amplification of DNA) as a simple method for monitoring ammonia-oxidizing bacteria. </w:t>
      </w:r>
      <w:proofErr w:type="gramStart"/>
      <w:r w:rsidRPr="00741C97">
        <w:rPr>
          <w:sz w:val="20"/>
          <w:szCs w:val="20"/>
        </w:rPr>
        <w:t xml:space="preserve">J </w:t>
      </w:r>
      <w:proofErr w:type="spellStart"/>
      <w:r w:rsidRPr="00741C97">
        <w:rPr>
          <w:sz w:val="20"/>
          <w:szCs w:val="20"/>
        </w:rPr>
        <w:t>Biotechnol</w:t>
      </w:r>
      <w:proofErr w:type="spellEnd"/>
      <w:r w:rsidRPr="00741C97">
        <w:rPr>
          <w:sz w:val="20"/>
          <w:szCs w:val="20"/>
        </w:rPr>
        <w:t>.</w:t>
      </w:r>
      <w:proofErr w:type="gramEnd"/>
      <w:r w:rsidRPr="00741C97">
        <w:rPr>
          <w:sz w:val="20"/>
          <w:szCs w:val="20"/>
        </w:rPr>
        <w:t xml:space="preserve"> 2006 Oct 1</w:t>
      </w:r>
      <w:proofErr w:type="gramStart"/>
      <w:r w:rsidRPr="00741C97">
        <w:rPr>
          <w:sz w:val="20"/>
          <w:szCs w:val="20"/>
        </w:rPr>
        <w:t>;125</w:t>
      </w:r>
      <w:proofErr w:type="gramEnd"/>
      <w:r w:rsidRPr="00741C97">
        <w:rPr>
          <w:sz w:val="20"/>
          <w:szCs w:val="20"/>
        </w:rPr>
        <w:t xml:space="preserve">(4):484-91. </w:t>
      </w:r>
      <w:proofErr w:type="spellStart"/>
      <w:r w:rsidRPr="00741C97">
        <w:rPr>
          <w:sz w:val="20"/>
          <w:szCs w:val="20"/>
        </w:rPr>
        <w:t>Epub</w:t>
      </w:r>
      <w:proofErr w:type="spellEnd"/>
      <w:r w:rsidRPr="00741C97">
        <w:rPr>
          <w:sz w:val="20"/>
          <w:szCs w:val="20"/>
        </w:rPr>
        <w:t xml:space="preserve"> 2006 Jun 21.</w:t>
      </w:r>
    </w:p>
    <w:p w:rsidR="00343815" w:rsidRDefault="00343815"/>
    <w:sectPr w:rsidR="00343815" w:rsidSect="0034381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73B42"/>
    <w:rsid w:val="00015DB0"/>
    <w:rsid w:val="00026930"/>
    <w:rsid w:val="00050FF8"/>
    <w:rsid w:val="001570DE"/>
    <w:rsid w:val="00173799"/>
    <w:rsid w:val="002A47F4"/>
    <w:rsid w:val="002E5513"/>
    <w:rsid w:val="00343815"/>
    <w:rsid w:val="003B6F43"/>
    <w:rsid w:val="00481DC2"/>
    <w:rsid w:val="005368E1"/>
    <w:rsid w:val="00671A20"/>
    <w:rsid w:val="006D16BF"/>
    <w:rsid w:val="00724A7F"/>
    <w:rsid w:val="00751A5D"/>
    <w:rsid w:val="00773B42"/>
    <w:rsid w:val="007A3323"/>
    <w:rsid w:val="00893C45"/>
    <w:rsid w:val="00B541DB"/>
    <w:rsid w:val="00D30DEB"/>
    <w:rsid w:val="00D922D2"/>
    <w:rsid w:val="00E8274E"/>
    <w:rsid w:val="00FF1A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B4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742</Words>
  <Characters>4234</Characters>
  <Application>Microsoft Office Word</Application>
  <DocSecurity>0</DocSecurity>
  <Lines>35</Lines>
  <Paragraphs>9</Paragraphs>
  <ScaleCrop>false</ScaleCrop>
  <Company/>
  <LinksUpToDate>false</LinksUpToDate>
  <CharactersWithSpaces>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c:creator>
  <cp:lastModifiedBy>Sun</cp:lastModifiedBy>
  <cp:revision>1</cp:revision>
  <dcterms:created xsi:type="dcterms:W3CDTF">2012-05-18T13:43:00Z</dcterms:created>
  <dcterms:modified xsi:type="dcterms:W3CDTF">2012-05-18T13:44:00Z</dcterms:modified>
</cp:coreProperties>
</file>